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0C075" w14:textId="77777777" w:rsidR="00001D83" w:rsidRDefault="00EF20BB">
      <w:pPr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From Poison to Medicine</w:t>
      </w:r>
    </w:p>
    <w:p w14:paraId="56B3FAEE" w14:textId="77777777" w:rsidR="00001D83" w:rsidRDefault="00EF20BB">
      <w:pPr>
        <w:rPr>
          <w:rFonts w:ascii="Arial Rounded" w:eastAsia="Arial Rounded" w:hAnsi="Arial Rounded" w:cs="Arial Rounded"/>
          <w:b/>
          <w:sz w:val="24"/>
          <w:szCs w:val="24"/>
        </w:rPr>
      </w:pPr>
      <w:r>
        <w:rPr>
          <w:rFonts w:ascii="Arial Rounded" w:eastAsia="Arial Rounded" w:hAnsi="Arial Rounded" w:cs="Arial Rounded"/>
          <w:b/>
          <w:sz w:val="24"/>
          <w:szCs w:val="24"/>
        </w:rPr>
        <w:t>Mechanisms and an Antidote</w:t>
      </w:r>
    </w:p>
    <w:p w14:paraId="51AE5FAA" w14:textId="77777777" w:rsidR="00001D83" w:rsidRDefault="00001D83"/>
    <w:p w14:paraId="2998E97B" w14:textId="77777777" w:rsidR="00001D83" w:rsidRDefault="00EF20BB">
      <w:r>
        <w:t xml:space="preserve">The overall reaction catalyzed by acetylcholinesterase is the hydrolysis of acetylcholine to acetic acid and choline. This is a two-stage process involving hydrolysis (Figure 1).  </w:t>
      </w:r>
    </w:p>
    <w:p w14:paraId="6A41DCA9" w14:textId="77777777" w:rsidR="00001D83" w:rsidRDefault="00001D83">
      <w:pPr>
        <w:rPr>
          <w:b/>
        </w:rPr>
      </w:pPr>
    </w:p>
    <w:p w14:paraId="7BBB3C72" w14:textId="77777777" w:rsidR="00001D83" w:rsidRDefault="00EF20BB">
      <w:pPr>
        <w:jc w:val="center"/>
      </w:pPr>
      <w:r>
        <w:rPr>
          <w:noProof/>
        </w:rPr>
        <w:drawing>
          <wp:inline distT="0" distB="0" distL="0" distR="0" wp14:anchorId="73BD2BFE" wp14:editId="3B4DB578">
            <wp:extent cx="4102100" cy="749300"/>
            <wp:effectExtent l="0" t="0" r="0" b="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AE7AF" w14:textId="77777777" w:rsidR="00001D83" w:rsidRDefault="00001D83">
      <w:pPr>
        <w:rPr>
          <w:b/>
          <w:sz w:val="20"/>
          <w:szCs w:val="20"/>
        </w:rPr>
      </w:pPr>
    </w:p>
    <w:p w14:paraId="12671199" w14:textId="77777777" w:rsidR="00001D83" w:rsidRDefault="00EF20BB">
      <w:pPr>
        <w:rPr>
          <w:sz w:val="20"/>
          <w:szCs w:val="20"/>
        </w:rPr>
      </w:pPr>
      <w:r>
        <w:rPr>
          <w:b/>
          <w:sz w:val="20"/>
          <w:szCs w:val="20"/>
        </w:rPr>
        <w:t>Figure 1:</w:t>
      </w:r>
      <w:r>
        <w:rPr>
          <w:sz w:val="20"/>
          <w:szCs w:val="20"/>
        </w:rPr>
        <w:t xml:space="preserve"> Acetylcholinesterase Overall Reaction</w:t>
      </w:r>
    </w:p>
    <w:p w14:paraId="171AD913" w14:textId="77777777" w:rsidR="00001D83" w:rsidRDefault="00001D83"/>
    <w:p w14:paraId="7C06741B" w14:textId="77777777" w:rsidR="00001D83" w:rsidRDefault="00EF20BB">
      <w:r>
        <w:t>The first step forms the intermediate that can be seen in the structure given by the PDB ID: 2ACE (Figure 2). This covalent adduct is called a tetrahedral intermediate, because it’s going from a trigonal planar carbo</w:t>
      </w:r>
      <w:r>
        <w:t xml:space="preserve">nyl group to a tetrahedral oxyanion. </w:t>
      </w:r>
    </w:p>
    <w:p w14:paraId="1EA13795" w14:textId="77777777" w:rsidR="00001D83" w:rsidRDefault="00EF20BB">
      <w:r>
        <w:rPr>
          <w:noProof/>
        </w:rPr>
        <w:drawing>
          <wp:inline distT="0" distB="0" distL="0" distR="0" wp14:anchorId="2F37A2B9" wp14:editId="046A5CCA">
            <wp:extent cx="5943600" cy="1679575"/>
            <wp:effectExtent l="0" t="0" r="0" b="0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E07B4" w14:textId="77777777" w:rsidR="00001D83" w:rsidRDefault="00EF20BB">
      <w:pPr>
        <w:rPr>
          <w:sz w:val="20"/>
          <w:szCs w:val="20"/>
        </w:rPr>
      </w:pPr>
      <w:r>
        <w:rPr>
          <w:b/>
          <w:sz w:val="20"/>
          <w:szCs w:val="20"/>
        </w:rPr>
        <w:t>Figure 2</w:t>
      </w:r>
      <w:r>
        <w:rPr>
          <w:sz w:val="20"/>
          <w:szCs w:val="20"/>
        </w:rPr>
        <w:t>: Formation of the first tetrahedral intermediate in the AChE mechanism</w:t>
      </w:r>
    </w:p>
    <w:p w14:paraId="45DA3D30" w14:textId="77777777" w:rsidR="00001D83" w:rsidRDefault="00001D83"/>
    <w:p w14:paraId="606A2823" w14:textId="77777777" w:rsidR="00001D83" w:rsidRDefault="00EF20BB">
      <w:pPr>
        <w:rPr>
          <w:color w:val="0432FF"/>
        </w:rPr>
      </w:pPr>
      <w:r>
        <w:rPr>
          <w:b/>
          <w:color w:val="0000FF"/>
        </w:rPr>
        <w:t>Question 1</w:t>
      </w:r>
      <w:r>
        <w:rPr>
          <w:color w:val="0000FF"/>
        </w:rPr>
        <w:t xml:space="preserve">: </w:t>
      </w:r>
      <w:r>
        <w:rPr>
          <w:color w:val="0432FF"/>
        </w:rPr>
        <w:t>What is the role of serine and histidine in the mechanistic step shown in Figure 1? Propose a purpose for the glutamate res</w:t>
      </w:r>
      <w:r>
        <w:rPr>
          <w:color w:val="0432FF"/>
        </w:rPr>
        <w:t xml:space="preserve">idue that is also part of the catalytic triad. </w:t>
      </w:r>
    </w:p>
    <w:p w14:paraId="6392AE6A" w14:textId="77777777" w:rsidR="00001D83" w:rsidRDefault="00001D83"/>
    <w:p w14:paraId="0D3A0156" w14:textId="77777777" w:rsidR="00001D83" w:rsidRDefault="00EF20BB">
      <w:r>
        <w:t xml:space="preserve">The tetrahedral intermediate is fleeting. These electrons from the oxyanion push back down, reforming a double bond and releasing choline from the active site (Figure 3). </w:t>
      </w:r>
    </w:p>
    <w:p w14:paraId="0551F825" w14:textId="77777777" w:rsidR="00001D83" w:rsidRDefault="00EF20BB">
      <w:r>
        <w:rPr>
          <w:noProof/>
        </w:rPr>
        <w:drawing>
          <wp:inline distT="0" distB="0" distL="0" distR="0" wp14:anchorId="7F767317" wp14:editId="7E2A4505">
            <wp:extent cx="5930900" cy="1600200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943E3" w14:textId="77777777" w:rsidR="00001D83" w:rsidRDefault="00EF20BB">
      <w:pPr>
        <w:rPr>
          <w:sz w:val="20"/>
          <w:szCs w:val="20"/>
        </w:rPr>
      </w:pPr>
      <w:r>
        <w:rPr>
          <w:b/>
          <w:sz w:val="20"/>
          <w:szCs w:val="20"/>
        </w:rPr>
        <w:t>Figure 3</w:t>
      </w:r>
      <w:r>
        <w:rPr>
          <w:sz w:val="20"/>
          <w:szCs w:val="20"/>
        </w:rPr>
        <w:t>: Release of choline in t</w:t>
      </w:r>
      <w:r>
        <w:rPr>
          <w:sz w:val="20"/>
          <w:szCs w:val="20"/>
        </w:rPr>
        <w:t>he AChE mechanism</w:t>
      </w:r>
    </w:p>
    <w:p w14:paraId="5C9E27E4" w14:textId="77777777" w:rsidR="00001D83" w:rsidRDefault="00001D83">
      <w:pPr>
        <w:rPr>
          <w:sz w:val="20"/>
          <w:szCs w:val="20"/>
        </w:rPr>
      </w:pPr>
    </w:p>
    <w:p w14:paraId="3A6D3A28" w14:textId="77777777" w:rsidR="00001D83" w:rsidRDefault="00EF20BB">
      <w:r>
        <w:lastRenderedPageBreak/>
        <w:t>An enzyme needs to return to its original state to catalyze another reaction. To perform this step, a molecule of water in the active site attacks the covalently bound acetate, forming a second tetrahedral intermediate (Figure 4). Like t</w:t>
      </w:r>
      <w:r>
        <w:t xml:space="preserve">he first tetrahedral intermediate, </w:t>
      </w:r>
      <w:proofErr w:type="gramStart"/>
      <w:r>
        <w:t>this collapses</w:t>
      </w:r>
      <w:proofErr w:type="gramEnd"/>
      <w:r>
        <w:t xml:space="preserve">, this time releasing the product, acetate. </w:t>
      </w:r>
    </w:p>
    <w:p w14:paraId="0B5CF2B1" w14:textId="77777777" w:rsidR="00001D83" w:rsidRDefault="00EF20BB">
      <w:r>
        <w:rPr>
          <w:noProof/>
        </w:rPr>
        <w:drawing>
          <wp:inline distT="0" distB="0" distL="0" distR="0" wp14:anchorId="36A6C0D6" wp14:editId="36409A80">
            <wp:extent cx="5943600" cy="2823845"/>
            <wp:effectExtent l="0" t="0" r="0" b="0"/>
            <wp:docPr id="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721D5" w14:textId="77777777" w:rsidR="00001D83" w:rsidRDefault="00EF20BB">
      <w:pPr>
        <w:rPr>
          <w:sz w:val="20"/>
          <w:szCs w:val="20"/>
        </w:rPr>
      </w:pPr>
      <w:r>
        <w:rPr>
          <w:b/>
          <w:sz w:val="20"/>
          <w:szCs w:val="20"/>
        </w:rPr>
        <w:t>Figure 4</w:t>
      </w:r>
      <w:r>
        <w:rPr>
          <w:sz w:val="20"/>
          <w:szCs w:val="20"/>
        </w:rPr>
        <w:t>: Formation of the second tetrahedral intermediate and acetate release</w:t>
      </w:r>
    </w:p>
    <w:p w14:paraId="63399E53" w14:textId="77777777" w:rsidR="00001D83" w:rsidRDefault="00001D83">
      <w:pPr>
        <w:rPr>
          <w:sz w:val="20"/>
          <w:szCs w:val="20"/>
        </w:rPr>
      </w:pPr>
    </w:p>
    <w:p w14:paraId="347BCDF7" w14:textId="77777777" w:rsidR="00001D83" w:rsidRDefault="00EF20BB">
      <w:r>
        <w:rPr>
          <w:b/>
          <w:color w:val="0000FF"/>
        </w:rPr>
        <w:t>Question 2</w:t>
      </w:r>
      <w:r>
        <w:rPr>
          <w:color w:val="0432FF"/>
        </w:rPr>
        <w:t xml:space="preserve">: Why is the hydrolysis step necessary? If water couldn’t get into the active site for this hydrolysis step, what do you predict the outcome would be? </w:t>
      </w:r>
    </w:p>
    <w:p w14:paraId="0C994138" w14:textId="77777777" w:rsidR="00001D83" w:rsidRDefault="00001D83"/>
    <w:p w14:paraId="6E67B591" w14:textId="77777777" w:rsidR="00001D83" w:rsidRDefault="00EF20BB">
      <w:r>
        <w:t xml:space="preserve">Sarin is a powerful inhibitor of AChE. The structure of this poison is shown in Figure 5. </w:t>
      </w:r>
    </w:p>
    <w:p w14:paraId="1BAD6CAC" w14:textId="77777777" w:rsidR="00001D83" w:rsidRDefault="00001D83"/>
    <w:p w14:paraId="672EB2A9" w14:textId="77777777" w:rsidR="00001D83" w:rsidRDefault="00EF20BB">
      <w:pPr>
        <w:ind w:firstLine="720"/>
      </w:pPr>
      <w:r>
        <w:rPr>
          <w:noProof/>
        </w:rPr>
        <w:drawing>
          <wp:inline distT="0" distB="0" distL="0" distR="0" wp14:anchorId="6773E249" wp14:editId="63BCF6CA">
            <wp:extent cx="774700" cy="520700"/>
            <wp:effectExtent l="0" t="0" r="0" b="0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8F5BC" w14:textId="77777777" w:rsidR="00001D83" w:rsidRDefault="00EF20BB">
      <w:r>
        <w:rPr>
          <w:b/>
          <w:sz w:val="20"/>
          <w:szCs w:val="20"/>
        </w:rPr>
        <w:t>Figure 5</w:t>
      </w:r>
      <w:r>
        <w:rPr>
          <w:sz w:val="20"/>
          <w:szCs w:val="20"/>
        </w:rPr>
        <w:t>: Sarin, powerful a nerve agent</w:t>
      </w:r>
    </w:p>
    <w:p w14:paraId="7247D5D5" w14:textId="77777777" w:rsidR="00001D83" w:rsidRDefault="00001D83"/>
    <w:p w14:paraId="48E3307C" w14:textId="77777777" w:rsidR="00001D83" w:rsidRDefault="00EF20BB">
      <w:r>
        <w:br w:type="page"/>
      </w:r>
    </w:p>
    <w:p w14:paraId="4EC7D24C" w14:textId="77777777" w:rsidR="00001D83" w:rsidRDefault="00EF20BB">
      <w:r>
        <w:lastRenderedPageBreak/>
        <w:t xml:space="preserve">An image of the active site residues interacting with sarin is provided in Figure 6. Examine the figure and answer the following questions. </w:t>
      </w:r>
    </w:p>
    <w:p w14:paraId="62DB91DD" w14:textId="77777777" w:rsidR="00001D83" w:rsidRDefault="00001D83"/>
    <w:p w14:paraId="1C77A67A" w14:textId="77777777" w:rsidR="00001D83" w:rsidRDefault="00EF20BB">
      <w:r>
        <w:rPr>
          <w:noProof/>
        </w:rPr>
        <w:drawing>
          <wp:inline distT="114300" distB="114300" distL="114300" distR="114300" wp14:anchorId="63548F47" wp14:editId="3E098636">
            <wp:extent cx="5943600" cy="3429000"/>
            <wp:effectExtent l="0" t="0" r="0" b="0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3A4BF8" w14:textId="77777777" w:rsidR="00001D83" w:rsidRDefault="00EF20BB">
      <w:r>
        <w:rPr>
          <w:b/>
          <w:sz w:val="20"/>
          <w:szCs w:val="20"/>
        </w:rPr>
        <w:t>Figure 6</w:t>
      </w:r>
      <w:r>
        <w:rPr>
          <w:sz w:val="20"/>
          <w:szCs w:val="20"/>
        </w:rPr>
        <w:t>: Sarin bound to AChE</w:t>
      </w:r>
    </w:p>
    <w:p w14:paraId="18814509" w14:textId="77777777" w:rsidR="00001D83" w:rsidRDefault="00001D83"/>
    <w:p w14:paraId="324218E0" w14:textId="77777777" w:rsidR="00001D83" w:rsidRDefault="00EF20BB">
      <w:r>
        <w:rPr>
          <w:b/>
          <w:color w:val="0000FF"/>
        </w:rPr>
        <w:t>Question 3</w:t>
      </w:r>
      <w:r>
        <w:rPr>
          <w:color w:val="0432FF"/>
        </w:rPr>
        <w:t>: Draw a chemical structure that sho</w:t>
      </w:r>
      <w:r>
        <w:rPr>
          <w:color w:val="0432FF"/>
        </w:rPr>
        <w:t xml:space="preserve">ws the way serine interacts with the nerve agent. </w:t>
      </w:r>
    </w:p>
    <w:p w14:paraId="2CC12277" w14:textId="77777777" w:rsidR="00001D83" w:rsidRDefault="00001D83"/>
    <w:p w14:paraId="085407F3" w14:textId="77777777" w:rsidR="00001D83" w:rsidRDefault="00EF20BB">
      <w:bookmarkStart w:id="0" w:name="_heading=h.1fob9te" w:colFirst="0" w:colLast="0"/>
      <w:bookmarkEnd w:id="0"/>
      <w:r>
        <w:rPr>
          <w:b/>
          <w:color w:val="0000FF"/>
        </w:rPr>
        <w:t>Question 4</w:t>
      </w:r>
      <w:r>
        <w:rPr>
          <w:color w:val="0432FF"/>
        </w:rPr>
        <w:t xml:space="preserve">: What type of inhibition is this? How does this lead to the symptoms you read about in the first part of the case study? </w:t>
      </w:r>
    </w:p>
    <w:p w14:paraId="1AC1AB27" w14:textId="77777777" w:rsidR="00001D83" w:rsidRDefault="00001D83"/>
    <w:p w14:paraId="12CFC1A6" w14:textId="77777777" w:rsidR="00001D83" w:rsidRDefault="00EF20BB">
      <w:r>
        <w:t>There are some chemicals that show promise as antidotes to sarin poiso</w:t>
      </w:r>
      <w:r>
        <w:t xml:space="preserve">ning. HI-6 (Figure 7) is one such agent. </w:t>
      </w:r>
    </w:p>
    <w:p w14:paraId="4744C5E9" w14:textId="77777777" w:rsidR="00001D83" w:rsidRDefault="00001D83"/>
    <w:p w14:paraId="346955DC" w14:textId="77777777" w:rsidR="00001D83" w:rsidRDefault="00EF20BB">
      <w:pPr>
        <w:ind w:firstLine="720"/>
      </w:pPr>
      <w:r>
        <w:rPr>
          <w:noProof/>
        </w:rPr>
        <w:drawing>
          <wp:inline distT="0" distB="0" distL="0" distR="0" wp14:anchorId="0E6EA348" wp14:editId="457AB695">
            <wp:extent cx="1879600" cy="1168400"/>
            <wp:effectExtent l="0" t="0" r="0" b="0"/>
            <wp:docPr id="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FA712" w14:textId="77777777" w:rsidR="00001D83" w:rsidRDefault="00EF20BB">
      <w:pPr>
        <w:rPr>
          <w:sz w:val="20"/>
          <w:szCs w:val="20"/>
        </w:rPr>
      </w:pPr>
      <w:r>
        <w:rPr>
          <w:b/>
          <w:sz w:val="20"/>
          <w:szCs w:val="20"/>
        </w:rPr>
        <w:t>Figure 7:</w:t>
      </w:r>
      <w:r>
        <w:rPr>
          <w:sz w:val="20"/>
          <w:szCs w:val="20"/>
        </w:rPr>
        <w:t xml:space="preserve"> HI-6, a potential sarin antidote</w:t>
      </w:r>
    </w:p>
    <w:p w14:paraId="1B8948B0" w14:textId="77777777" w:rsidR="00001D83" w:rsidRDefault="00001D83">
      <w:pPr>
        <w:rPr>
          <w:sz w:val="20"/>
          <w:szCs w:val="20"/>
        </w:rPr>
      </w:pPr>
    </w:p>
    <w:p w14:paraId="7CB65808" w14:textId="77777777" w:rsidR="00001D83" w:rsidRDefault="00EF20BB">
      <w:r>
        <w:t xml:space="preserve">If administered quickly, this compound can reverse the effects of sarin poisoning. Figure 8 shows HI-6 bound to sarin-deactivated acetylcholinesterase. </w:t>
      </w:r>
    </w:p>
    <w:p w14:paraId="7A5C31C6" w14:textId="77777777" w:rsidR="00001D83" w:rsidRDefault="00EF20BB">
      <w:r>
        <w:rPr>
          <w:noProof/>
        </w:rPr>
        <w:lastRenderedPageBreak/>
        <w:drawing>
          <wp:inline distT="114300" distB="114300" distL="114300" distR="114300" wp14:anchorId="0FBB392A" wp14:editId="1C8CBB3B">
            <wp:extent cx="5943600" cy="2679700"/>
            <wp:effectExtent l="0" t="0" r="0" b="0"/>
            <wp:docPr id="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E7756" w14:textId="77777777" w:rsidR="00001D83" w:rsidRDefault="00EF20BB">
      <w:r>
        <w:rPr>
          <w:b/>
          <w:sz w:val="20"/>
          <w:szCs w:val="20"/>
        </w:rPr>
        <w:t>Figure 8</w:t>
      </w:r>
      <w:r>
        <w:rPr>
          <w:sz w:val="20"/>
          <w:szCs w:val="20"/>
        </w:rPr>
        <w:t>: AC</w:t>
      </w:r>
      <w:r>
        <w:rPr>
          <w:sz w:val="20"/>
          <w:szCs w:val="20"/>
        </w:rPr>
        <w:t>hE bound to sarin and the potential antidote, HI-6</w:t>
      </w:r>
    </w:p>
    <w:p w14:paraId="0064E235" w14:textId="77777777" w:rsidR="00001D83" w:rsidRDefault="00001D83"/>
    <w:p w14:paraId="3946B511" w14:textId="77777777" w:rsidR="00001D83" w:rsidRDefault="00001D83">
      <w:pPr>
        <w:rPr>
          <w:b/>
          <w:color w:val="0000FF"/>
        </w:rPr>
      </w:pPr>
      <w:bookmarkStart w:id="1" w:name="_heading=h.30j0zll" w:colFirst="0" w:colLast="0"/>
      <w:bookmarkEnd w:id="1"/>
    </w:p>
    <w:p w14:paraId="747626D8" w14:textId="04A289C4" w:rsidR="00001D83" w:rsidRPr="00D94432" w:rsidRDefault="00EF20BB">
      <w:pPr>
        <w:rPr>
          <w:color w:val="0432FF"/>
        </w:rPr>
      </w:pPr>
      <w:r>
        <w:rPr>
          <w:b/>
          <w:color w:val="0000FF"/>
        </w:rPr>
        <w:t>Question 5</w:t>
      </w:r>
      <w:r>
        <w:rPr>
          <w:color w:val="0432FF"/>
        </w:rPr>
        <w:t>: Based on Figure 8, how do you think the antidote reacts to release sarin from the active site serine? Propose a structure of the antidote-sarin adduct, and show an arrow pushing mechanism. Yo</w:t>
      </w:r>
      <w:r>
        <w:rPr>
          <w:color w:val="0432FF"/>
        </w:rPr>
        <w:t>u can represent the parts of the molecule that don’t react as R groups in your structure. The pK</w:t>
      </w:r>
      <w:r w:rsidRPr="00797C33">
        <w:rPr>
          <w:color w:val="0432FF"/>
          <w:vertAlign w:val="subscript"/>
        </w:rPr>
        <w:t>a</w:t>
      </w:r>
      <w:r>
        <w:rPr>
          <w:color w:val="0432FF"/>
        </w:rPr>
        <w:t xml:space="preserve"> of the antidote oxime functional group is 7.6</w:t>
      </w:r>
      <w:r w:rsidR="00D94432">
        <w:rPr>
          <w:color w:val="0432FF"/>
        </w:rPr>
        <w:t>.</w:t>
      </w:r>
      <w:r w:rsidR="00D94432">
        <w:rPr>
          <w:rStyle w:val="FootnoteReference"/>
          <w:color w:val="0432FF"/>
        </w:rPr>
        <w:footnoteReference w:id="1"/>
      </w:r>
      <w:r w:rsidR="00D94432">
        <w:rPr>
          <w:color w:val="0432FF"/>
        </w:rPr>
        <w:t xml:space="preserve"> </w:t>
      </w:r>
      <w:r>
        <w:rPr>
          <w:color w:val="0432FF"/>
        </w:rPr>
        <w:t xml:space="preserve"> </w:t>
      </w:r>
      <w:bookmarkStart w:id="2" w:name="_GoBack"/>
      <w:bookmarkEnd w:id="2"/>
    </w:p>
    <w:sectPr w:rsidR="00001D83" w:rsidRPr="00D9443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37494" w14:textId="77777777" w:rsidR="00EF20BB" w:rsidRDefault="00EF20BB">
      <w:pPr>
        <w:spacing w:line="240" w:lineRule="auto"/>
      </w:pPr>
      <w:r>
        <w:separator/>
      </w:r>
    </w:p>
  </w:endnote>
  <w:endnote w:type="continuationSeparator" w:id="0">
    <w:p w14:paraId="250CD999" w14:textId="77777777" w:rsidR="00EF20BB" w:rsidRDefault="00EF20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7F48E" w14:textId="77777777" w:rsidR="00001D83" w:rsidRDefault="00EF20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A6DAECB" w14:textId="77777777" w:rsidR="00001D83" w:rsidRDefault="00001D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81D79" w14:textId="77777777" w:rsidR="00001D83" w:rsidRDefault="00EF20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97C33">
      <w:rPr>
        <w:color w:val="000000"/>
      </w:rPr>
      <w:fldChar w:fldCharType="separate"/>
    </w:r>
    <w:r w:rsidR="00797C33">
      <w:rPr>
        <w:noProof/>
        <w:color w:val="000000"/>
      </w:rPr>
      <w:t>1</w:t>
    </w:r>
    <w:r>
      <w:rPr>
        <w:color w:val="000000"/>
      </w:rPr>
      <w:fldChar w:fldCharType="end"/>
    </w:r>
  </w:p>
  <w:p w14:paraId="6D5FA17E" w14:textId="77777777" w:rsidR="00001D83" w:rsidRDefault="00EF20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7745E35D" wp14:editId="4F305587">
          <wp:extent cx="548640" cy="270979"/>
          <wp:effectExtent l="0" t="0" r="0" b="0"/>
          <wp:docPr id="3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2709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C34641" w14:textId="77777777" w:rsidR="00001D83" w:rsidRDefault="00EF20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Developed for Molecular </w:t>
    </w:r>
    <w:proofErr w:type="spellStart"/>
    <w:r>
      <w:rPr>
        <w:color w:val="000000"/>
        <w:sz w:val="16"/>
        <w:szCs w:val="16"/>
      </w:rPr>
      <w:t>CaseNet</w:t>
    </w:r>
    <w:proofErr w:type="spellEnd"/>
    <w:r>
      <w:rPr>
        <w:color w:val="000000"/>
        <w:sz w:val="16"/>
        <w:szCs w:val="16"/>
      </w:rPr>
      <w:t>, 2021</w:t>
    </w:r>
  </w:p>
  <w:p w14:paraId="466AD93F" w14:textId="77777777" w:rsidR="00001D83" w:rsidRDefault="00EF20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Authors: Kathleen </w:t>
    </w:r>
    <w:proofErr w:type="spellStart"/>
    <w:r>
      <w:rPr>
        <w:color w:val="000000"/>
        <w:sz w:val="16"/>
        <w:szCs w:val="16"/>
      </w:rPr>
      <w:t>Cornely</w:t>
    </w:r>
    <w:proofErr w:type="spellEnd"/>
    <w:r>
      <w:rPr>
        <w:color w:val="000000"/>
        <w:sz w:val="16"/>
        <w:szCs w:val="16"/>
      </w:rPr>
      <w:t>, Michael The, Kristen Procko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512B2" w14:textId="77777777" w:rsidR="00001D83" w:rsidRDefault="00001D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9E87B" w14:textId="77777777" w:rsidR="00EF20BB" w:rsidRDefault="00EF20BB">
      <w:pPr>
        <w:spacing w:line="240" w:lineRule="auto"/>
      </w:pPr>
      <w:r>
        <w:separator/>
      </w:r>
    </w:p>
  </w:footnote>
  <w:footnote w:type="continuationSeparator" w:id="0">
    <w:p w14:paraId="4672A97A" w14:textId="77777777" w:rsidR="00EF20BB" w:rsidRDefault="00EF20BB">
      <w:pPr>
        <w:spacing w:line="240" w:lineRule="auto"/>
      </w:pPr>
      <w:r>
        <w:continuationSeparator/>
      </w:r>
    </w:p>
  </w:footnote>
  <w:footnote w:id="1">
    <w:p w14:paraId="24DC7EAE" w14:textId="40668A5A" w:rsidR="00D94432" w:rsidRPr="00D94432" w:rsidRDefault="00D94432">
      <w:pPr>
        <w:pStyle w:val="FootnoteText"/>
        <w:rPr>
          <w:sz w:val="16"/>
          <w:szCs w:val="16"/>
          <w:lang w:val="en-US"/>
        </w:rPr>
      </w:pPr>
      <w:r w:rsidRPr="00D94432">
        <w:rPr>
          <w:rStyle w:val="FootnoteReference"/>
          <w:sz w:val="16"/>
          <w:szCs w:val="16"/>
        </w:rPr>
        <w:footnoteRef/>
      </w:r>
      <w:r w:rsidRPr="00D94432">
        <w:rPr>
          <w:sz w:val="16"/>
          <w:szCs w:val="16"/>
        </w:rPr>
        <w:t xml:space="preserve"> </w:t>
      </w:r>
      <w:proofErr w:type="spellStart"/>
      <w:r w:rsidRPr="00D94432">
        <w:rPr>
          <w:sz w:val="16"/>
          <w:szCs w:val="16"/>
        </w:rPr>
        <w:t>Radić</w:t>
      </w:r>
      <w:proofErr w:type="spellEnd"/>
      <w:r w:rsidRPr="00D94432">
        <w:rPr>
          <w:sz w:val="16"/>
          <w:szCs w:val="16"/>
        </w:rPr>
        <w:t xml:space="preserve"> Z, Dale T, </w:t>
      </w:r>
      <w:proofErr w:type="spellStart"/>
      <w:r w:rsidRPr="00D94432">
        <w:rPr>
          <w:sz w:val="16"/>
          <w:szCs w:val="16"/>
        </w:rPr>
        <w:t>Kovarik</w:t>
      </w:r>
      <w:proofErr w:type="spellEnd"/>
      <w:r w:rsidRPr="00D94432">
        <w:rPr>
          <w:sz w:val="16"/>
          <w:szCs w:val="16"/>
        </w:rPr>
        <w:t xml:space="preserve"> Z, Berend S, Garcia E, Zhang L, </w:t>
      </w:r>
      <w:proofErr w:type="spellStart"/>
      <w:r w:rsidRPr="00D94432">
        <w:rPr>
          <w:sz w:val="16"/>
          <w:szCs w:val="16"/>
        </w:rPr>
        <w:t>Amitai</w:t>
      </w:r>
      <w:proofErr w:type="spellEnd"/>
      <w:r w:rsidRPr="00D94432">
        <w:rPr>
          <w:sz w:val="16"/>
          <w:szCs w:val="16"/>
        </w:rPr>
        <w:t xml:space="preserve"> G, Green C, </w:t>
      </w:r>
      <w:proofErr w:type="spellStart"/>
      <w:r w:rsidRPr="00D94432">
        <w:rPr>
          <w:sz w:val="16"/>
          <w:szCs w:val="16"/>
        </w:rPr>
        <w:t>Radić</w:t>
      </w:r>
      <w:proofErr w:type="spellEnd"/>
      <w:r w:rsidRPr="00D94432">
        <w:rPr>
          <w:sz w:val="16"/>
          <w:szCs w:val="16"/>
        </w:rPr>
        <w:t xml:space="preserve"> B, Duggan BM, </w:t>
      </w:r>
      <w:proofErr w:type="spellStart"/>
      <w:r w:rsidRPr="00D94432">
        <w:rPr>
          <w:sz w:val="16"/>
          <w:szCs w:val="16"/>
        </w:rPr>
        <w:t>Ajami</w:t>
      </w:r>
      <w:proofErr w:type="spellEnd"/>
      <w:r w:rsidRPr="00D94432">
        <w:rPr>
          <w:sz w:val="16"/>
          <w:szCs w:val="16"/>
        </w:rPr>
        <w:t xml:space="preserve"> D, </w:t>
      </w:r>
      <w:proofErr w:type="spellStart"/>
      <w:r w:rsidRPr="00D94432">
        <w:rPr>
          <w:sz w:val="16"/>
          <w:szCs w:val="16"/>
        </w:rPr>
        <w:t>Rebek</w:t>
      </w:r>
      <w:proofErr w:type="spellEnd"/>
      <w:r w:rsidRPr="00D94432">
        <w:rPr>
          <w:sz w:val="16"/>
          <w:szCs w:val="16"/>
        </w:rPr>
        <w:t xml:space="preserve"> J, Taylor P. </w:t>
      </w:r>
      <w:r w:rsidRPr="00D94432">
        <w:rPr>
          <w:sz w:val="16"/>
          <w:szCs w:val="16"/>
        </w:rPr>
        <w:t xml:space="preserve">(2013) </w:t>
      </w:r>
      <w:r w:rsidRPr="00D94432">
        <w:rPr>
          <w:sz w:val="16"/>
          <w:szCs w:val="16"/>
        </w:rPr>
        <w:t xml:space="preserve">Catalytic detoxification of nerve agent and pesticide organophosphates by </w:t>
      </w:r>
      <w:proofErr w:type="spellStart"/>
      <w:r w:rsidRPr="00D94432">
        <w:rPr>
          <w:sz w:val="16"/>
          <w:szCs w:val="16"/>
        </w:rPr>
        <w:t>butyrylcholinesterase</w:t>
      </w:r>
      <w:proofErr w:type="spellEnd"/>
      <w:r w:rsidRPr="00D94432">
        <w:rPr>
          <w:sz w:val="16"/>
          <w:szCs w:val="16"/>
        </w:rPr>
        <w:t xml:space="preserve"> assisted with non-pyridinium oximes. </w:t>
      </w:r>
      <w:proofErr w:type="spellStart"/>
      <w:r w:rsidRPr="00D94432">
        <w:rPr>
          <w:i/>
          <w:sz w:val="16"/>
          <w:szCs w:val="16"/>
        </w:rPr>
        <w:t>Biochem</w:t>
      </w:r>
      <w:proofErr w:type="spellEnd"/>
      <w:r w:rsidRPr="00D94432">
        <w:rPr>
          <w:i/>
          <w:sz w:val="16"/>
          <w:szCs w:val="16"/>
        </w:rPr>
        <w:t xml:space="preserve"> J.</w:t>
      </w:r>
      <w:r w:rsidRPr="00D94432">
        <w:rPr>
          <w:sz w:val="16"/>
          <w:szCs w:val="16"/>
        </w:rPr>
        <w:t xml:space="preserve"> 450 (1), 231–42. </w:t>
      </w:r>
      <w:proofErr w:type="spellStart"/>
      <w:r w:rsidRPr="00D94432">
        <w:rPr>
          <w:sz w:val="16"/>
          <w:szCs w:val="16"/>
        </w:rPr>
        <w:t>doi</w:t>
      </w:r>
      <w:proofErr w:type="spellEnd"/>
      <w:r w:rsidRPr="00D94432">
        <w:rPr>
          <w:sz w:val="16"/>
          <w:szCs w:val="16"/>
        </w:rPr>
        <w:t>: 10.1042/BJ20121612. PMID: 23216060; PMCID: PMC4772673.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99704" w14:textId="77777777" w:rsidR="00001D83" w:rsidRDefault="00001D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0C53F" w14:textId="77777777" w:rsidR="00001D83" w:rsidRDefault="00EF20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t>From Poison to Medicine: An Acetylcholinesterase Case Study – Mechanisms</w:t>
    </w:r>
  </w:p>
  <w:p w14:paraId="030BFC19" w14:textId="77777777" w:rsidR="00001D83" w:rsidRDefault="00001D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66D76" w14:textId="77777777" w:rsidR="00001D83" w:rsidRDefault="00001D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D83"/>
    <w:rsid w:val="00001D83"/>
    <w:rsid w:val="00797C33"/>
    <w:rsid w:val="00D94432"/>
    <w:rsid w:val="00E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9091BD"/>
  <w15:docId w15:val="{7D2A9D20-6A2D-C84D-BEF8-B48E0019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34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34E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20A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0A1"/>
  </w:style>
  <w:style w:type="paragraph" w:styleId="Footer">
    <w:name w:val="footer"/>
    <w:basedOn w:val="Normal"/>
    <w:link w:val="FooterChar"/>
    <w:uiPriority w:val="99"/>
    <w:unhideWhenUsed/>
    <w:rsid w:val="00C220A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0A1"/>
  </w:style>
  <w:style w:type="character" w:styleId="PageNumber">
    <w:name w:val="page number"/>
    <w:basedOn w:val="DefaultParagraphFont"/>
    <w:uiPriority w:val="99"/>
    <w:semiHidden/>
    <w:unhideWhenUsed/>
    <w:rsid w:val="00333EF8"/>
  </w:style>
  <w:style w:type="paragraph" w:styleId="FootnoteText">
    <w:name w:val="footnote text"/>
    <w:basedOn w:val="Normal"/>
    <w:link w:val="FootnoteTextChar"/>
    <w:uiPriority w:val="99"/>
    <w:semiHidden/>
    <w:unhideWhenUsed/>
    <w:rsid w:val="00D9443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44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44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5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ftFyPH973UXmkqmU3EZEWLOpPw==">AMUW2mWwWWbmfnNXTW9ZskZeTO7pH/GWsMEOOYloHuihIN8fLK3VR44Cr9ic7iZhykxXP1Sk2BBUz1MnD132v39m81fp24VTkozpfk6P8vsZJk5ikKAtpDU0ituQUzGq1gRi/kLrOTOUFoukbrAJmfCviFjKijpxKw==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430</Words>
  <Characters>2453</Characters>
  <Application>Microsoft Office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Kristen Procko</cp:lastModifiedBy>
  <cp:revision>3</cp:revision>
  <dcterms:created xsi:type="dcterms:W3CDTF">2021-05-05T14:25:00Z</dcterms:created>
  <dcterms:modified xsi:type="dcterms:W3CDTF">2021-10-12T20:00:00Z</dcterms:modified>
</cp:coreProperties>
</file>