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749C92" w14:textId="77777777" w:rsidR="0016122E" w:rsidRDefault="00885F28">
      <w:pPr>
        <w:jc w:val="center"/>
        <w:rPr>
          <w:b/>
          <w:sz w:val="30"/>
          <w:szCs w:val="30"/>
        </w:rPr>
      </w:pPr>
      <w:r>
        <w:rPr>
          <w:b/>
          <w:sz w:val="30"/>
          <w:szCs w:val="30"/>
        </w:rPr>
        <w:t>Familial Partial Lipodystrophy, Dunnigan Variety</w:t>
      </w:r>
    </w:p>
    <w:p w14:paraId="02A75D11" w14:textId="77777777" w:rsidR="0016122E" w:rsidRDefault="00885F28">
      <w:pPr>
        <w:jc w:val="center"/>
      </w:pPr>
      <w:bookmarkStart w:id="0" w:name="_heading=h.gjdgxs" w:colFirst="0" w:colLast="0"/>
      <w:bookmarkEnd w:id="0"/>
      <w:r>
        <w:t>Bradley University</w:t>
      </w:r>
    </w:p>
    <w:p w14:paraId="69AA0859" w14:textId="77777777" w:rsidR="0016122E" w:rsidRDefault="0016122E">
      <w:pPr>
        <w:rPr>
          <w:b/>
        </w:rPr>
      </w:pPr>
    </w:p>
    <w:p w14:paraId="3B0F40DC" w14:textId="77777777" w:rsidR="0016122E" w:rsidRDefault="0016122E">
      <w:pPr>
        <w:rPr>
          <w:b/>
        </w:rPr>
      </w:pPr>
    </w:p>
    <w:p w14:paraId="5338126F" w14:textId="77777777" w:rsidR="0016122E" w:rsidRDefault="00885F28">
      <w:pPr>
        <w:rPr>
          <w:b/>
        </w:rPr>
      </w:pPr>
      <w:r>
        <w:rPr>
          <w:b/>
        </w:rPr>
        <w:t>Part 2: The FPL2 Mutant</w:t>
      </w:r>
    </w:p>
    <w:p w14:paraId="29281659" w14:textId="77777777" w:rsidR="0016122E" w:rsidRDefault="0016122E"/>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6122E" w14:paraId="3DC7D639" w14:textId="77777777">
        <w:tc>
          <w:tcPr>
            <w:tcW w:w="9360" w:type="dxa"/>
            <w:shd w:val="clear" w:color="auto" w:fill="FFFF00"/>
            <w:tcMar>
              <w:top w:w="100" w:type="dxa"/>
              <w:left w:w="100" w:type="dxa"/>
              <w:bottom w:w="100" w:type="dxa"/>
              <w:right w:w="100" w:type="dxa"/>
            </w:tcMar>
          </w:tcPr>
          <w:p w14:paraId="01EE2F00" w14:textId="77777777" w:rsidR="0016122E" w:rsidRDefault="00885F28">
            <w:pPr>
              <w:widowControl w:val="0"/>
              <w:pBdr>
                <w:top w:val="nil"/>
                <w:left w:val="nil"/>
                <w:bottom w:val="nil"/>
                <w:right w:val="nil"/>
                <w:between w:val="nil"/>
              </w:pBdr>
              <w:spacing w:line="240" w:lineRule="auto"/>
              <w:rPr>
                <w:b/>
                <w:i/>
              </w:rPr>
            </w:pPr>
            <w:r>
              <w:rPr>
                <w:b/>
                <w:i/>
              </w:rPr>
              <w:t>Box 2: Storyline</w:t>
            </w:r>
          </w:p>
          <w:p w14:paraId="298DBE3C" w14:textId="77777777" w:rsidR="0016122E" w:rsidRDefault="00885F28">
            <w:pPr>
              <w:widowControl w:val="0"/>
              <w:pBdr>
                <w:top w:val="nil"/>
                <w:left w:val="nil"/>
                <w:bottom w:val="nil"/>
                <w:right w:val="nil"/>
                <w:between w:val="nil"/>
              </w:pBdr>
              <w:spacing w:line="240" w:lineRule="auto"/>
            </w:pPr>
            <w:r>
              <w:t>Now that we know the symptoms of FPL2 and a little background on what the disease is, let’s explore the molecule that was introduced in Part 1 that causes FPL2. Jill was able to diagnose herself reading scientific articles and spending hours researching ge</w:t>
            </w:r>
            <w:r>
              <w:t xml:space="preserve">netics. Today, you will not have to do hours of research, but rather use a web-database visualization tool to explore and learn about the structure of </w:t>
            </w:r>
            <w:proofErr w:type="spellStart"/>
            <w:r>
              <w:t>Lamin</w:t>
            </w:r>
            <w:proofErr w:type="spellEnd"/>
            <w:r>
              <w:t xml:space="preserve"> A/C.</w:t>
            </w:r>
          </w:p>
        </w:tc>
      </w:tr>
    </w:tbl>
    <w:p w14:paraId="36720BB2" w14:textId="77777777" w:rsidR="0016122E" w:rsidRDefault="0016122E"/>
    <w:p w14:paraId="50376DFA" w14:textId="77777777" w:rsidR="0016122E" w:rsidRDefault="0016122E"/>
    <w:p w14:paraId="7982E024" w14:textId="77777777" w:rsidR="0016122E" w:rsidRDefault="0016122E"/>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6122E" w14:paraId="5195818C" w14:textId="77777777">
        <w:tc>
          <w:tcPr>
            <w:tcW w:w="9360" w:type="dxa"/>
            <w:shd w:val="clear" w:color="auto" w:fill="EFEFEF"/>
            <w:tcMar>
              <w:top w:w="100" w:type="dxa"/>
              <w:left w:w="100" w:type="dxa"/>
              <w:bottom w:w="100" w:type="dxa"/>
              <w:right w:w="100" w:type="dxa"/>
            </w:tcMar>
          </w:tcPr>
          <w:p w14:paraId="2CDDBA7E" w14:textId="77777777" w:rsidR="0016122E" w:rsidRDefault="00885F28">
            <w:pPr>
              <w:widowControl w:val="0"/>
              <w:spacing w:line="240" w:lineRule="auto"/>
              <w:rPr>
                <w:b/>
              </w:rPr>
            </w:pPr>
            <w:r>
              <w:rPr>
                <w:b/>
              </w:rPr>
              <w:t>Background information: FPL2</w:t>
            </w:r>
          </w:p>
          <w:p w14:paraId="51483F86" w14:textId="77777777" w:rsidR="0016122E" w:rsidRDefault="00885F28">
            <w:pPr>
              <w:widowControl w:val="0"/>
              <w:spacing w:line="240" w:lineRule="auto"/>
            </w:pPr>
            <w:r>
              <w:t xml:space="preserve">FPL2 causes affected individuals like Jill and Priscilla to experience abnormal degradation of adipose tissue. </w:t>
            </w:r>
            <w:proofErr w:type="spellStart"/>
            <w:r>
              <w:t>Lamin</w:t>
            </w:r>
            <w:proofErr w:type="spellEnd"/>
            <w:r>
              <w:t xml:space="preserve"> proteins function in the nucleus of cells by lining the inside of the cell membrane, allowing binding of other molecules. Mutations in LMNA</w:t>
            </w:r>
            <w:r>
              <w:t xml:space="preserve">, encoding </w:t>
            </w:r>
            <w:proofErr w:type="spellStart"/>
            <w:r>
              <w:t>lamin</w:t>
            </w:r>
            <w:proofErr w:type="spellEnd"/>
            <w:r>
              <w:t xml:space="preserve"> proteins A and C, are associated with this disease. Two potential explanations have been presented by the scientific community. The first involves breakdown of the cell nucleus due to mechanical and oxidative stress on the nuclear lamina’s</w:t>
            </w:r>
            <w:r>
              <w:t xml:space="preserve"> mutated structure. The second hypothesizes aberrant gene expression in which </w:t>
            </w:r>
            <w:proofErr w:type="spellStart"/>
            <w:r>
              <w:t>lamin</w:t>
            </w:r>
            <w:proofErr w:type="spellEnd"/>
            <w:r>
              <w:t xml:space="preserve"> mutations affect binding to DNA or pro </w:t>
            </w:r>
            <w:proofErr w:type="spellStart"/>
            <w:r>
              <w:t>adipogenic</w:t>
            </w:r>
            <w:proofErr w:type="spellEnd"/>
            <w:r>
              <w:t xml:space="preserve"> transcription factors. </w:t>
            </w:r>
          </w:p>
          <w:p w14:paraId="5BB9EA05" w14:textId="77777777" w:rsidR="0016122E" w:rsidRDefault="0016122E">
            <w:pPr>
              <w:widowControl w:val="0"/>
              <w:spacing w:line="240" w:lineRule="auto"/>
            </w:pPr>
          </w:p>
          <w:p w14:paraId="0653A2B4" w14:textId="77777777" w:rsidR="0016122E" w:rsidRDefault="00885F28">
            <w:pPr>
              <w:widowControl w:val="0"/>
              <w:spacing w:line="240" w:lineRule="auto"/>
            </w:pPr>
            <w:r>
              <w:t>Read the introduction and sections 3.1, 3.3, and 3.4 in the discussion of the following article o</w:t>
            </w:r>
            <w:r>
              <w:t xml:space="preserve">ver the research of </w:t>
            </w:r>
            <w:proofErr w:type="spellStart"/>
            <w:r>
              <w:t>Magracheva</w:t>
            </w:r>
            <w:proofErr w:type="spellEnd"/>
            <w:r>
              <w:t xml:space="preserve">, et al. to better understand the molecular basis of the disease: </w:t>
            </w:r>
            <w:hyperlink r:id="rId6">
              <w:r>
                <w:rPr>
                  <w:color w:val="1155CC"/>
                  <w:u w:val="single"/>
                </w:rPr>
                <w:t xml:space="preserve">Structure of the </w:t>
              </w:r>
              <w:proofErr w:type="spellStart"/>
              <w:r>
                <w:rPr>
                  <w:color w:val="1155CC"/>
                  <w:u w:val="single"/>
                </w:rPr>
                <w:t>lamin</w:t>
              </w:r>
              <w:proofErr w:type="spellEnd"/>
              <w:r>
                <w:rPr>
                  <w:color w:val="1155CC"/>
                  <w:u w:val="single"/>
                </w:rPr>
                <w:t xml:space="preserve"> A/C R482W mutant responsible for dominant familial partial lipod</w:t>
              </w:r>
              <w:r>
                <w:rPr>
                  <w:color w:val="1155CC"/>
                  <w:u w:val="single"/>
                </w:rPr>
                <w:t>ystrophy (FPLD)</w:t>
              </w:r>
            </w:hyperlink>
          </w:p>
        </w:tc>
      </w:tr>
    </w:tbl>
    <w:p w14:paraId="6F97AD80" w14:textId="77777777" w:rsidR="0016122E" w:rsidRDefault="0016122E"/>
    <w:p w14:paraId="28E7F8F1" w14:textId="77777777" w:rsidR="0016122E" w:rsidRDefault="0016122E"/>
    <w:p w14:paraId="66460FB0" w14:textId="77777777" w:rsidR="0016122E" w:rsidRDefault="00885F28">
      <w:pPr>
        <w:rPr>
          <w:b/>
        </w:rPr>
      </w:pPr>
      <w:r>
        <w:rPr>
          <w:b/>
        </w:rPr>
        <w:t xml:space="preserve">Explore the Web Database Visualization Tools on RCSB PDB. </w:t>
      </w:r>
    </w:p>
    <w:p w14:paraId="28D4C07C" w14:textId="77777777" w:rsidR="0016122E" w:rsidRDefault="0016122E">
      <w:pPr>
        <w:rPr>
          <w:b/>
        </w:rPr>
      </w:pPr>
    </w:p>
    <w:p w14:paraId="04E91DF5" w14:textId="77777777" w:rsidR="0016122E" w:rsidRDefault="00885F28">
      <w:pPr>
        <w:numPr>
          <w:ilvl w:val="0"/>
          <w:numId w:val="1"/>
        </w:numPr>
      </w:pPr>
      <w:r>
        <w:t>Click on the link (</w:t>
      </w:r>
      <w:hyperlink r:id="rId7">
        <w:r>
          <w:rPr>
            <w:color w:val="1155CC"/>
            <w:u w:val="single"/>
          </w:rPr>
          <w:t>https://www.rcsb.org/</w:t>
        </w:r>
      </w:hyperlink>
      <w:r>
        <w:t xml:space="preserve">) to explore the RCSB Protein Data Bank to examine the </w:t>
      </w:r>
      <w:r>
        <w:rPr>
          <w:rFonts w:ascii="Times New Roman" w:eastAsia="Times New Roman" w:hAnsi="Times New Roman" w:cs="Times New Roman"/>
          <w:sz w:val="24"/>
          <w:szCs w:val="24"/>
        </w:rPr>
        <w:t>PDB 1IFR.</w:t>
      </w:r>
    </w:p>
    <w:p w14:paraId="7E2EE95C" w14:textId="77777777" w:rsidR="0016122E" w:rsidRDefault="0016122E"/>
    <w:p w14:paraId="68BB78D0" w14:textId="77777777" w:rsidR="0016122E" w:rsidRDefault="00885F28">
      <w:r>
        <w:t>Question 1. Complete the follo</w:t>
      </w:r>
      <w:r>
        <w:t>wing questions in the table using the structure summary page of the PDB: 1IFR</w:t>
      </w: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05"/>
        <w:gridCol w:w="5355"/>
      </w:tblGrid>
      <w:tr w:rsidR="0016122E" w14:paraId="2CF46A58" w14:textId="77777777">
        <w:trPr>
          <w:trHeight w:val="132"/>
        </w:trPr>
        <w:tc>
          <w:tcPr>
            <w:tcW w:w="4005" w:type="dxa"/>
            <w:shd w:val="clear" w:color="auto" w:fill="auto"/>
            <w:tcMar>
              <w:top w:w="100" w:type="dxa"/>
              <w:left w:w="100" w:type="dxa"/>
              <w:bottom w:w="100" w:type="dxa"/>
              <w:right w:w="100" w:type="dxa"/>
            </w:tcMar>
          </w:tcPr>
          <w:p w14:paraId="7B16B048" w14:textId="77777777" w:rsidR="0016122E" w:rsidRDefault="00885F28">
            <w:pPr>
              <w:widowControl w:val="0"/>
              <w:spacing w:line="240" w:lineRule="auto"/>
            </w:pPr>
            <w:r>
              <w:t xml:space="preserve">PDB </w:t>
            </w:r>
          </w:p>
        </w:tc>
        <w:tc>
          <w:tcPr>
            <w:tcW w:w="5355" w:type="dxa"/>
            <w:shd w:val="clear" w:color="auto" w:fill="auto"/>
            <w:tcMar>
              <w:top w:w="100" w:type="dxa"/>
              <w:left w:w="100" w:type="dxa"/>
              <w:bottom w:w="100" w:type="dxa"/>
              <w:right w:w="100" w:type="dxa"/>
            </w:tcMar>
          </w:tcPr>
          <w:p w14:paraId="3075A980" w14:textId="77777777" w:rsidR="0016122E" w:rsidRDefault="00885F28">
            <w:pPr>
              <w:widowControl w:val="0"/>
              <w:spacing w:line="240" w:lineRule="auto"/>
            </w:pPr>
            <w:r>
              <w:t>1IFR</w:t>
            </w:r>
          </w:p>
        </w:tc>
      </w:tr>
      <w:tr w:rsidR="0016122E" w14:paraId="5B27CE30" w14:textId="77777777">
        <w:tc>
          <w:tcPr>
            <w:tcW w:w="4005" w:type="dxa"/>
            <w:shd w:val="clear" w:color="auto" w:fill="auto"/>
            <w:tcMar>
              <w:top w:w="100" w:type="dxa"/>
              <w:left w:w="100" w:type="dxa"/>
              <w:bottom w:w="100" w:type="dxa"/>
              <w:right w:w="100" w:type="dxa"/>
            </w:tcMar>
          </w:tcPr>
          <w:p w14:paraId="37A07974" w14:textId="77777777" w:rsidR="0016122E" w:rsidRDefault="00885F28">
            <w:pPr>
              <w:widowControl w:val="0"/>
              <w:spacing w:line="240" w:lineRule="auto"/>
            </w:pPr>
            <w:r>
              <w:t xml:space="preserve">Title: </w:t>
            </w:r>
          </w:p>
        </w:tc>
        <w:tc>
          <w:tcPr>
            <w:tcW w:w="5355" w:type="dxa"/>
            <w:shd w:val="clear" w:color="auto" w:fill="auto"/>
            <w:tcMar>
              <w:top w:w="100" w:type="dxa"/>
              <w:left w:w="100" w:type="dxa"/>
              <w:bottom w:w="100" w:type="dxa"/>
              <w:right w:w="100" w:type="dxa"/>
            </w:tcMar>
          </w:tcPr>
          <w:p w14:paraId="2260158F" w14:textId="4CF63F78" w:rsidR="0016122E" w:rsidRDefault="00885F28">
            <w:pPr>
              <w:widowControl w:val="0"/>
              <w:spacing w:line="240" w:lineRule="auto"/>
              <w:rPr>
                <w:color w:val="FF0000"/>
              </w:rPr>
            </w:pPr>
            <w:r>
              <w:rPr>
                <w:color w:val="FF0000"/>
              </w:rPr>
              <w:t xml:space="preserve"> </w:t>
            </w:r>
          </w:p>
        </w:tc>
      </w:tr>
      <w:tr w:rsidR="0016122E" w14:paraId="0F7D5F91" w14:textId="77777777">
        <w:tc>
          <w:tcPr>
            <w:tcW w:w="4005" w:type="dxa"/>
            <w:shd w:val="clear" w:color="auto" w:fill="auto"/>
            <w:tcMar>
              <w:top w:w="100" w:type="dxa"/>
              <w:left w:w="100" w:type="dxa"/>
              <w:bottom w:w="100" w:type="dxa"/>
              <w:right w:w="100" w:type="dxa"/>
            </w:tcMar>
          </w:tcPr>
          <w:p w14:paraId="211DECF8" w14:textId="77777777" w:rsidR="0016122E" w:rsidRDefault="00885F28">
            <w:pPr>
              <w:widowControl w:val="0"/>
              <w:spacing w:line="240" w:lineRule="auto"/>
            </w:pPr>
            <w:r>
              <w:t xml:space="preserve">Authors: </w:t>
            </w:r>
          </w:p>
        </w:tc>
        <w:tc>
          <w:tcPr>
            <w:tcW w:w="5355" w:type="dxa"/>
            <w:shd w:val="clear" w:color="auto" w:fill="auto"/>
            <w:tcMar>
              <w:top w:w="100" w:type="dxa"/>
              <w:left w:w="100" w:type="dxa"/>
              <w:bottom w:w="100" w:type="dxa"/>
              <w:right w:w="100" w:type="dxa"/>
            </w:tcMar>
          </w:tcPr>
          <w:p w14:paraId="14189E4B" w14:textId="46C040DB" w:rsidR="0016122E" w:rsidRDefault="00885F28">
            <w:pPr>
              <w:widowControl w:val="0"/>
              <w:spacing w:line="240" w:lineRule="auto"/>
              <w:rPr>
                <w:color w:val="FF0000"/>
              </w:rPr>
            </w:pPr>
            <w:r>
              <w:rPr>
                <w:color w:val="FF0000"/>
              </w:rPr>
              <w:t xml:space="preserve"> </w:t>
            </w:r>
          </w:p>
        </w:tc>
      </w:tr>
      <w:tr w:rsidR="0016122E" w14:paraId="3B086D24" w14:textId="77777777">
        <w:tc>
          <w:tcPr>
            <w:tcW w:w="4005" w:type="dxa"/>
          </w:tcPr>
          <w:p w14:paraId="57C7F99E" w14:textId="77777777" w:rsidR="0016122E" w:rsidRDefault="00885F28">
            <w:pPr>
              <w:spacing w:line="240" w:lineRule="auto"/>
              <w:rPr>
                <w:rFonts w:ascii="Times New Roman" w:eastAsia="Times New Roman" w:hAnsi="Times New Roman" w:cs="Times New Roman"/>
                <w:sz w:val="24"/>
                <w:szCs w:val="24"/>
              </w:rPr>
            </w:pPr>
            <w:r>
              <w:t>Year of publication</w:t>
            </w:r>
            <w:r>
              <w:rPr>
                <w:rFonts w:ascii="Times New Roman" w:eastAsia="Times New Roman" w:hAnsi="Times New Roman" w:cs="Times New Roman"/>
                <w:sz w:val="24"/>
                <w:szCs w:val="24"/>
              </w:rPr>
              <w:t xml:space="preserve"> </w:t>
            </w:r>
          </w:p>
        </w:tc>
        <w:tc>
          <w:tcPr>
            <w:tcW w:w="5355" w:type="dxa"/>
            <w:shd w:val="clear" w:color="auto" w:fill="auto"/>
            <w:tcMar>
              <w:top w:w="100" w:type="dxa"/>
              <w:left w:w="100" w:type="dxa"/>
              <w:bottom w:w="100" w:type="dxa"/>
              <w:right w:w="100" w:type="dxa"/>
            </w:tcMar>
          </w:tcPr>
          <w:p w14:paraId="2DC0083A" w14:textId="00893FBC" w:rsidR="0016122E" w:rsidRDefault="00885F28">
            <w:pPr>
              <w:widowControl w:val="0"/>
              <w:spacing w:line="240" w:lineRule="auto"/>
              <w:rPr>
                <w:color w:val="FF0000"/>
              </w:rPr>
            </w:pPr>
            <w:r>
              <w:rPr>
                <w:color w:val="FF0000"/>
              </w:rPr>
              <w:t xml:space="preserve"> </w:t>
            </w:r>
          </w:p>
        </w:tc>
      </w:tr>
      <w:tr w:rsidR="0016122E" w14:paraId="3B34628A" w14:textId="77777777">
        <w:tc>
          <w:tcPr>
            <w:tcW w:w="4005" w:type="dxa"/>
          </w:tcPr>
          <w:p w14:paraId="4D4FD046" w14:textId="77777777" w:rsidR="0016122E" w:rsidRDefault="00885F28">
            <w:pPr>
              <w:spacing w:line="240" w:lineRule="auto"/>
            </w:pPr>
            <w:proofErr w:type="gramStart"/>
            <w:r>
              <w:lastRenderedPageBreak/>
              <w:t>Macromolecules  (</w:t>
            </w:r>
            <w:proofErr w:type="gramEnd"/>
            <w:r>
              <w:t>name--not ID #)</w:t>
            </w:r>
          </w:p>
        </w:tc>
        <w:tc>
          <w:tcPr>
            <w:tcW w:w="5355" w:type="dxa"/>
            <w:shd w:val="clear" w:color="auto" w:fill="auto"/>
            <w:tcMar>
              <w:top w:w="100" w:type="dxa"/>
              <w:left w:w="100" w:type="dxa"/>
              <w:bottom w:w="100" w:type="dxa"/>
              <w:right w:w="100" w:type="dxa"/>
            </w:tcMar>
          </w:tcPr>
          <w:p w14:paraId="09F5F13D" w14:textId="4CAA7D59" w:rsidR="0016122E" w:rsidRDefault="00885F28">
            <w:pPr>
              <w:widowControl w:val="0"/>
              <w:spacing w:line="240" w:lineRule="auto"/>
              <w:rPr>
                <w:color w:val="FF0000"/>
              </w:rPr>
            </w:pPr>
            <w:r>
              <w:rPr>
                <w:color w:val="FF0000"/>
              </w:rPr>
              <w:t xml:space="preserve"> </w:t>
            </w:r>
            <w:r>
              <w:rPr>
                <w:color w:val="FF0000"/>
              </w:rPr>
              <w:t xml:space="preserve"> </w:t>
            </w:r>
          </w:p>
        </w:tc>
      </w:tr>
      <w:tr w:rsidR="0016122E" w14:paraId="26D2C51C" w14:textId="77777777">
        <w:tc>
          <w:tcPr>
            <w:tcW w:w="4005" w:type="dxa"/>
          </w:tcPr>
          <w:p w14:paraId="63B51682" w14:textId="77777777" w:rsidR="0016122E" w:rsidRDefault="00885F28">
            <w:pPr>
              <w:spacing w:line="240" w:lineRule="auto"/>
            </w:pPr>
            <w:r>
              <w:t xml:space="preserve">Small </w:t>
            </w:r>
            <w:proofErr w:type="gramStart"/>
            <w:r>
              <w:t>molecules  (</w:t>
            </w:r>
            <w:proofErr w:type="gramEnd"/>
            <w:r>
              <w:t>name--not ID #)</w:t>
            </w:r>
          </w:p>
        </w:tc>
        <w:tc>
          <w:tcPr>
            <w:tcW w:w="5355" w:type="dxa"/>
            <w:shd w:val="clear" w:color="auto" w:fill="auto"/>
            <w:tcMar>
              <w:top w:w="100" w:type="dxa"/>
              <w:left w:w="100" w:type="dxa"/>
              <w:bottom w:w="100" w:type="dxa"/>
              <w:right w:w="100" w:type="dxa"/>
            </w:tcMar>
          </w:tcPr>
          <w:p w14:paraId="352D52EB" w14:textId="2CA08EBE" w:rsidR="0016122E" w:rsidRDefault="00885F28">
            <w:pPr>
              <w:widowControl w:val="0"/>
              <w:spacing w:line="240" w:lineRule="auto"/>
              <w:rPr>
                <w:color w:val="FF0000"/>
              </w:rPr>
            </w:pPr>
            <w:r>
              <w:rPr>
                <w:color w:val="FF0000"/>
              </w:rPr>
              <w:t xml:space="preserve"> </w:t>
            </w:r>
          </w:p>
        </w:tc>
      </w:tr>
    </w:tbl>
    <w:p w14:paraId="7EE07E70" w14:textId="77777777" w:rsidR="0016122E" w:rsidRDefault="0016122E"/>
    <w:p w14:paraId="055F8288" w14:textId="77777777" w:rsidR="0016122E" w:rsidRDefault="00885F28">
      <w:pPr>
        <w:numPr>
          <w:ilvl w:val="0"/>
          <w:numId w:val="1"/>
        </w:numPr>
      </w:pPr>
      <w:r>
        <w:t>In the 3D view tab of the RCSB page, manipulate the protein with Mol* (the default program for viewing 3D images in RCSB)</w:t>
      </w:r>
    </w:p>
    <w:p w14:paraId="3C1F47FD" w14:textId="77777777" w:rsidR="0016122E" w:rsidRDefault="00885F28">
      <w:pPr>
        <w:numPr>
          <w:ilvl w:val="1"/>
          <w:numId w:val="1"/>
        </w:numPr>
      </w:pPr>
      <w:r>
        <w:t>On the RCSB structure summary page of 1IFR, click on the 3D view “Structure”. This will take you to Mol*, a molecular graphics visuali</w:t>
      </w:r>
      <w:r>
        <w:t xml:space="preserve">zation tool that allows you to interact with the molecule. </w:t>
      </w:r>
    </w:p>
    <w:p w14:paraId="171991AD" w14:textId="77777777" w:rsidR="0016122E" w:rsidRDefault="00885F28">
      <w:pPr>
        <w:numPr>
          <w:ilvl w:val="1"/>
          <w:numId w:val="1"/>
        </w:numPr>
      </w:pPr>
      <w:r>
        <w:t xml:space="preserve">The goal of this activity is to have you explore the structure and sequence of the wild type </w:t>
      </w:r>
      <w:proofErr w:type="spellStart"/>
      <w:r>
        <w:t>Lamin</w:t>
      </w:r>
      <w:proofErr w:type="spellEnd"/>
      <w:r>
        <w:t xml:space="preserve"> A/C protein as well as learn how to function Mol*. </w:t>
      </w:r>
    </w:p>
    <w:p w14:paraId="4AF64861" w14:textId="77777777" w:rsidR="0016122E" w:rsidRDefault="00885F28">
      <w:pPr>
        <w:numPr>
          <w:ilvl w:val="1"/>
          <w:numId w:val="1"/>
        </w:numPr>
      </w:pPr>
      <w:r>
        <w:t>To begin, click on the arrow (toggle selectio</w:t>
      </w:r>
      <w:r>
        <w:t xml:space="preserve">n mode) which will open a toolbar, located above the molecule. Across that toolbar will be a box labeled, “Residue”, click on “Residue” and change it to “Chain”. </w:t>
      </w:r>
    </w:p>
    <w:p w14:paraId="6543835C" w14:textId="77777777" w:rsidR="0016122E" w:rsidRDefault="00885F28">
      <w:pPr>
        <w:numPr>
          <w:ilvl w:val="1"/>
          <w:numId w:val="1"/>
        </w:numPr>
      </w:pPr>
      <w:sdt>
        <w:sdtPr>
          <w:tag w:val="goog_rdk_0"/>
          <w:id w:val="-202093811"/>
        </w:sdtPr>
        <w:sdtEndPr/>
        <w:sdtContent>
          <w:r>
            <w:rPr>
              <w:rFonts w:ascii="Arial Unicode MS" w:eastAsia="Arial Unicode MS" w:hAnsi="Arial Unicode MS" w:cs="Arial Unicode MS"/>
            </w:rPr>
            <w:t xml:space="preserve">Click on Polymer in the </w:t>
          </w:r>
          <w:proofErr w:type="gramStart"/>
          <w:r>
            <w:rPr>
              <w:rFonts w:ascii="Arial Unicode MS" w:eastAsia="Arial Unicode MS" w:hAnsi="Arial Unicode MS" w:cs="Arial Unicode MS"/>
            </w:rPr>
            <w:t>right hand</w:t>
          </w:r>
          <w:proofErr w:type="gramEnd"/>
          <w:r>
            <w:rPr>
              <w:rFonts w:ascii="Arial Unicode MS" w:eastAsia="Arial Unicode MS" w:hAnsi="Arial Unicode MS" w:cs="Arial Unicode MS"/>
            </w:rPr>
            <w:t xml:space="preserve"> bar → (...) - Set Coloring → Residue Property → Sequence I</w:t>
          </w:r>
          <w:r>
            <w:rPr>
              <w:rFonts w:ascii="Arial Unicode MS" w:eastAsia="Arial Unicode MS" w:hAnsi="Arial Unicode MS" w:cs="Arial Unicode MS"/>
            </w:rPr>
            <w:t xml:space="preserve">D. This will create a rainbow coloration of the molecule. The purpose of labeling the protein in the rainbow coloration is to illustrate the sequence of the amino acids beginning with the N-terminus in blue and ending with the C-terminus in red. </w:t>
          </w:r>
        </w:sdtContent>
      </w:sdt>
    </w:p>
    <w:p w14:paraId="6A133D41" w14:textId="77777777" w:rsidR="0016122E" w:rsidRDefault="00885F28">
      <w:pPr>
        <w:numPr>
          <w:ilvl w:val="1"/>
          <w:numId w:val="1"/>
        </w:numPr>
      </w:pPr>
      <w:sdt>
        <w:sdtPr>
          <w:tag w:val="goog_rdk_1"/>
          <w:id w:val="2139138740"/>
        </w:sdtPr>
        <w:sdtEndPr/>
        <w:sdtContent>
          <w:r>
            <w:rPr>
              <w:rFonts w:ascii="Arial Unicode MS" w:eastAsia="Arial Unicode MS" w:hAnsi="Arial Unicode MS" w:cs="Arial Unicode MS"/>
            </w:rPr>
            <w:t>Add Lab</w:t>
          </w:r>
          <w:r>
            <w:rPr>
              <w:rFonts w:ascii="Arial Unicode MS" w:eastAsia="Arial Unicode MS" w:hAnsi="Arial Unicode MS" w:cs="Arial Unicode MS"/>
            </w:rPr>
            <w:t>els for the macromolecule and small molecule(s) by clicking on measurements → click on the molecule/residue you would like to label → add (under measurements) → it will be labeled.</w:t>
          </w:r>
        </w:sdtContent>
      </w:sdt>
    </w:p>
    <w:p w14:paraId="7F21E8D6" w14:textId="77777777" w:rsidR="0016122E" w:rsidRDefault="0016122E"/>
    <w:p w14:paraId="52EE4E1B" w14:textId="77777777" w:rsidR="0016122E" w:rsidRDefault="00885F28">
      <w:r>
        <w:t xml:space="preserve">Question 2: Insert an image of the </w:t>
      </w:r>
      <w:proofErr w:type="gramStart"/>
      <w:r>
        <w:t>wild-type</w:t>
      </w:r>
      <w:proofErr w:type="gramEnd"/>
      <w:r>
        <w:t xml:space="preserve"> </w:t>
      </w:r>
      <w:proofErr w:type="spellStart"/>
      <w:r>
        <w:t>lamin</w:t>
      </w:r>
      <w:proofErr w:type="spellEnd"/>
      <w:r>
        <w:t xml:space="preserve"> A/C protein you created in Mol*. Hide the water molecules. Identify and label the amino acid on the N-terminus and the amino acid on the C-terminus. (hint: view the residue #’s). </w:t>
      </w:r>
    </w:p>
    <w:p w14:paraId="1B373F19" w14:textId="7DD6A7CC" w:rsidR="0016122E" w:rsidRPr="00885F28" w:rsidRDefault="00885F28">
      <w:pPr>
        <w:rPr>
          <w:color w:val="FF0000"/>
        </w:rPr>
      </w:pPr>
      <w:r w:rsidRPr="00885F28">
        <w:rPr>
          <w:color w:val="FF0000"/>
        </w:rPr>
        <w:t>Answer:</w:t>
      </w:r>
    </w:p>
    <w:p w14:paraId="317C5B07" w14:textId="4F592FCF" w:rsidR="0016122E" w:rsidRDefault="0016122E"/>
    <w:p w14:paraId="2B8BFAA8" w14:textId="7686CD1C" w:rsidR="00885F28" w:rsidRDefault="00885F28"/>
    <w:p w14:paraId="2C77AE4C" w14:textId="06666EA8" w:rsidR="00885F28" w:rsidRDefault="00885F28"/>
    <w:p w14:paraId="22AFDCBA" w14:textId="4FB3A02A" w:rsidR="00885F28" w:rsidRDefault="00885F28"/>
    <w:p w14:paraId="391447DF" w14:textId="5A15FCF8" w:rsidR="00885F28" w:rsidRDefault="00885F28"/>
    <w:p w14:paraId="18969076" w14:textId="6330B497" w:rsidR="00885F28" w:rsidRDefault="00885F28"/>
    <w:p w14:paraId="5E8CE7C2" w14:textId="5EA3F4B0" w:rsidR="00885F28" w:rsidRDefault="00885F28"/>
    <w:p w14:paraId="52EEDD67" w14:textId="30B08D9D" w:rsidR="00885F28" w:rsidRDefault="00885F28"/>
    <w:p w14:paraId="003587AC" w14:textId="20A2777A" w:rsidR="00885F28" w:rsidRDefault="00885F28"/>
    <w:p w14:paraId="13CE3A52" w14:textId="69A02A16" w:rsidR="00885F28" w:rsidRDefault="00885F28"/>
    <w:p w14:paraId="407B8714" w14:textId="77777777" w:rsidR="00885F28" w:rsidRDefault="00885F28"/>
    <w:p w14:paraId="0ABCF72F" w14:textId="77777777" w:rsidR="0016122E" w:rsidRDefault="0016122E"/>
    <w:p w14:paraId="0E637F2C" w14:textId="77777777" w:rsidR="0016122E" w:rsidRDefault="00885F28">
      <w:pPr>
        <w:numPr>
          <w:ilvl w:val="0"/>
          <w:numId w:val="1"/>
        </w:numPr>
      </w:pPr>
      <w:r>
        <w:lastRenderedPageBreak/>
        <w:t>Click on the link (</w:t>
      </w:r>
      <w:hyperlink r:id="rId8">
        <w:r>
          <w:rPr>
            <w:color w:val="1155CC"/>
            <w:u w:val="single"/>
          </w:rPr>
          <w:t>https://www.rcsb.org/</w:t>
        </w:r>
      </w:hyperlink>
      <w:r>
        <w:t xml:space="preserve">) to explore the RCSB Protein Data Bank to examine the </w:t>
      </w:r>
      <w:r>
        <w:rPr>
          <w:rFonts w:ascii="Times New Roman" w:eastAsia="Times New Roman" w:hAnsi="Times New Roman" w:cs="Times New Roman"/>
          <w:sz w:val="24"/>
          <w:szCs w:val="24"/>
        </w:rPr>
        <w:t>PDB 3GEF.</w:t>
      </w:r>
    </w:p>
    <w:p w14:paraId="1A127E33" w14:textId="77777777" w:rsidR="0016122E" w:rsidRDefault="0016122E">
      <w:pPr>
        <w:rPr>
          <w:rFonts w:ascii="Times New Roman" w:eastAsia="Times New Roman" w:hAnsi="Times New Roman" w:cs="Times New Roman"/>
          <w:sz w:val="24"/>
          <w:szCs w:val="24"/>
        </w:rPr>
      </w:pPr>
    </w:p>
    <w:p w14:paraId="52801B61" w14:textId="77777777" w:rsidR="0016122E" w:rsidRDefault="00885F28">
      <w:r>
        <w:t xml:space="preserve">Question 3. Complete the following questions in the table using the structure summary page of the PDB: 3GEF </w:t>
      </w:r>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16122E" w14:paraId="5D82A285" w14:textId="77777777">
        <w:tc>
          <w:tcPr>
            <w:tcW w:w="4680" w:type="dxa"/>
            <w:shd w:val="clear" w:color="auto" w:fill="auto"/>
            <w:tcMar>
              <w:top w:w="100" w:type="dxa"/>
              <w:left w:w="100" w:type="dxa"/>
              <w:bottom w:w="100" w:type="dxa"/>
              <w:right w:w="100" w:type="dxa"/>
            </w:tcMar>
          </w:tcPr>
          <w:p w14:paraId="17A74290" w14:textId="77777777" w:rsidR="0016122E" w:rsidRDefault="00885F28">
            <w:pPr>
              <w:widowControl w:val="0"/>
              <w:spacing w:line="240" w:lineRule="auto"/>
            </w:pPr>
            <w:r>
              <w:t xml:space="preserve">PDB </w:t>
            </w:r>
          </w:p>
        </w:tc>
        <w:tc>
          <w:tcPr>
            <w:tcW w:w="4680" w:type="dxa"/>
            <w:shd w:val="clear" w:color="auto" w:fill="auto"/>
            <w:tcMar>
              <w:top w:w="100" w:type="dxa"/>
              <w:left w:w="100" w:type="dxa"/>
              <w:bottom w:w="100" w:type="dxa"/>
              <w:right w:w="100" w:type="dxa"/>
            </w:tcMar>
          </w:tcPr>
          <w:p w14:paraId="06B15E7D" w14:textId="77777777" w:rsidR="0016122E" w:rsidRDefault="00885F28">
            <w:pPr>
              <w:widowControl w:val="0"/>
              <w:spacing w:line="240" w:lineRule="auto"/>
            </w:pPr>
            <w:r>
              <w:t>3GEF</w:t>
            </w:r>
          </w:p>
        </w:tc>
      </w:tr>
      <w:tr w:rsidR="0016122E" w14:paraId="61658103" w14:textId="77777777">
        <w:tc>
          <w:tcPr>
            <w:tcW w:w="4680" w:type="dxa"/>
            <w:shd w:val="clear" w:color="auto" w:fill="auto"/>
            <w:tcMar>
              <w:top w:w="100" w:type="dxa"/>
              <w:left w:w="100" w:type="dxa"/>
              <w:bottom w:w="100" w:type="dxa"/>
              <w:right w:w="100" w:type="dxa"/>
            </w:tcMar>
          </w:tcPr>
          <w:p w14:paraId="77A1C299" w14:textId="77777777" w:rsidR="0016122E" w:rsidRDefault="00885F28">
            <w:pPr>
              <w:widowControl w:val="0"/>
              <w:spacing w:line="240" w:lineRule="auto"/>
            </w:pPr>
            <w:r>
              <w:t xml:space="preserve">Title: </w:t>
            </w:r>
          </w:p>
        </w:tc>
        <w:tc>
          <w:tcPr>
            <w:tcW w:w="4680" w:type="dxa"/>
            <w:shd w:val="clear" w:color="auto" w:fill="auto"/>
            <w:tcMar>
              <w:top w:w="100" w:type="dxa"/>
              <w:left w:w="100" w:type="dxa"/>
              <w:bottom w:w="100" w:type="dxa"/>
              <w:right w:w="100" w:type="dxa"/>
            </w:tcMar>
          </w:tcPr>
          <w:p w14:paraId="13B35235" w14:textId="53FED085" w:rsidR="0016122E" w:rsidRDefault="00885F28">
            <w:pPr>
              <w:widowControl w:val="0"/>
              <w:shd w:val="clear" w:color="auto" w:fill="FFFFFF"/>
              <w:spacing w:before="160" w:after="160" w:line="264" w:lineRule="auto"/>
              <w:rPr>
                <w:color w:val="FF0000"/>
              </w:rPr>
            </w:pPr>
            <w:r>
              <w:rPr>
                <w:color w:val="FF0000"/>
              </w:rPr>
              <w:t xml:space="preserve"> </w:t>
            </w:r>
          </w:p>
        </w:tc>
      </w:tr>
      <w:tr w:rsidR="0016122E" w14:paraId="2887EEBB" w14:textId="77777777">
        <w:tc>
          <w:tcPr>
            <w:tcW w:w="4680" w:type="dxa"/>
            <w:shd w:val="clear" w:color="auto" w:fill="auto"/>
            <w:tcMar>
              <w:top w:w="100" w:type="dxa"/>
              <w:left w:w="100" w:type="dxa"/>
              <w:bottom w:w="100" w:type="dxa"/>
              <w:right w:w="100" w:type="dxa"/>
            </w:tcMar>
          </w:tcPr>
          <w:p w14:paraId="0E132E0E" w14:textId="77777777" w:rsidR="0016122E" w:rsidRDefault="00885F28">
            <w:pPr>
              <w:widowControl w:val="0"/>
              <w:spacing w:line="240" w:lineRule="auto"/>
            </w:pPr>
            <w:r>
              <w:t xml:space="preserve">Authors: </w:t>
            </w:r>
          </w:p>
        </w:tc>
        <w:tc>
          <w:tcPr>
            <w:tcW w:w="4680" w:type="dxa"/>
            <w:shd w:val="clear" w:color="auto" w:fill="auto"/>
            <w:tcMar>
              <w:top w:w="100" w:type="dxa"/>
              <w:left w:w="100" w:type="dxa"/>
              <w:bottom w:w="100" w:type="dxa"/>
              <w:right w:w="100" w:type="dxa"/>
            </w:tcMar>
          </w:tcPr>
          <w:p w14:paraId="10DA7A06" w14:textId="14F99777" w:rsidR="0016122E" w:rsidRDefault="00885F28">
            <w:pPr>
              <w:widowControl w:val="0"/>
              <w:spacing w:line="240" w:lineRule="auto"/>
              <w:rPr>
                <w:color w:val="FF0000"/>
              </w:rPr>
            </w:pPr>
            <w:r>
              <w:rPr>
                <w:color w:val="FF0000"/>
              </w:rPr>
              <w:t xml:space="preserve"> </w:t>
            </w:r>
          </w:p>
        </w:tc>
      </w:tr>
      <w:tr w:rsidR="0016122E" w14:paraId="73A0EE32" w14:textId="77777777">
        <w:tc>
          <w:tcPr>
            <w:tcW w:w="4680" w:type="dxa"/>
          </w:tcPr>
          <w:p w14:paraId="01DE3868" w14:textId="77777777" w:rsidR="0016122E" w:rsidRDefault="00885F28">
            <w:pPr>
              <w:spacing w:line="240" w:lineRule="auto"/>
              <w:rPr>
                <w:rFonts w:ascii="Times New Roman" w:eastAsia="Times New Roman" w:hAnsi="Times New Roman" w:cs="Times New Roman"/>
                <w:sz w:val="24"/>
                <w:szCs w:val="24"/>
              </w:rPr>
            </w:pPr>
            <w:r>
              <w:t>Year of publication</w:t>
            </w:r>
            <w:r>
              <w:rPr>
                <w:rFonts w:ascii="Times New Roman" w:eastAsia="Times New Roman" w:hAnsi="Times New Roman" w:cs="Times New Roman"/>
                <w:sz w:val="24"/>
                <w:szCs w:val="24"/>
              </w:rPr>
              <w:t xml:space="preserve"> </w:t>
            </w:r>
          </w:p>
        </w:tc>
        <w:tc>
          <w:tcPr>
            <w:tcW w:w="4680" w:type="dxa"/>
            <w:shd w:val="clear" w:color="auto" w:fill="auto"/>
            <w:tcMar>
              <w:top w:w="100" w:type="dxa"/>
              <w:left w:w="100" w:type="dxa"/>
              <w:bottom w:w="100" w:type="dxa"/>
              <w:right w:w="100" w:type="dxa"/>
            </w:tcMar>
          </w:tcPr>
          <w:p w14:paraId="4526914C" w14:textId="66B33C74" w:rsidR="0016122E" w:rsidRDefault="00885F28">
            <w:pPr>
              <w:widowControl w:val="0"/>
              <w:spacing w:line="240" w:lineRule="auto"/>
              <w:rPr>
                <w:color w:val="FF0000"/>
              </w:rPr>
            </w:pPr>
            <w:r>
              <w:rPr>
                <w:color w:val="FF0000"/>
              </w:rPr>
              <w:t xml:space="preserve"> </w:t>
            </w:r>
          </w:p>
        </w:tc>
      </w:tr>
      <w:tr w:rsidR="0016122E" w14:paraId="53A02E5D" w14:textId="77777777">
        <w:tc>
          <w:tcPr>
            <w:tcW w:w="4680" w:type="dxa"/>
          </w:tcPr>
          <w:p w14:paraId="7FDEDFFB" w14:textId="77777777" w:rsidR="0016122E" w:rsidRDefault="00885F28">
            <w:pPr>
              <w:spacing w:line="240" w:lineRule="auto"/>
            </w:pPr>
            <w:proofErr w:type="gramStart"/>
            <w:r>
              <w:t>Macromolecules  (</w:t>
            </w:r>
            <w:proofErr w:type="gramEnd"/>
            <w:r>
              <w:t>name--not ID #)</w:t>
            </w:r>
          </w:p>
        </w:tc>
        <w:tc>
          <w:tcPr>
            <w:tcW w:w="4680" w:type="dxa"/>
            <w:shd w:val="clear" w:color="auto" w:fill="auto"/>
            <w:tcMar>
              <w:top w:w="100" w:type="dxa"/>
              <w:left w:w="100" w:type="dxa"/>
              <w:bottom w:w="100" w:type="dxa"/>
              <w:right w:w="100" w:type="dxa"/>
            </w:tcMar>
          </w:tcPr>
          <w:p w14:paraId="2443AF13" w14:textId="2EA21B14" w:rsidR="0016122E" w:rsidRDefault="00885F28">
            <w:pPr>
              <w:widowControl w:val="0"/>
              <w:spacing w:line="240" w:lineRule="auto"/>
              <w:rPr>
                <w:color w:val="FF0000"/>
              </w:rPr>
            </w:pPr>
            <w:r>
              <w:rPr>
                <w:color w:val="FF0000"/>
              </w:rPr>
              <w:t xml:space="preserve"> </w:t>
            </w:r>
          </w:p>
        </w:tc>
      </w:tr>
      <w:tr w:rsidR="0016122E" w14:paraId="0D63490D" w14:textId="77777777">
        <w:tc>
          <w:tcPr>
            <w:tcW w:w="4680" w:type="dxa"/>
          </w:tcPr>
          <w:p w14:paraId="431F840C" w14:textId="77777777" w:rsidR="0016122E" w:rsidRDefault="00885F28">
            <w:pPr>
              <w:spacing w:line="240" w:lineRule="auto"/>
            </w:pPr>
            <w:r>
              <w:t xml:space="preserve">Small </w:t>
            </w:r>
            <w:proofErr w:type="gramStart"/>
            <w:r>
              <w:t>molecules  (</w:t>
            </w:r>
            <w:proofErr w:type="gramEnd"/>
            <w:r>
              <w:t>name--not ID #)</w:t>
            </w:r>
          </w:p>
        </w:tc>
        <w:tc>
          <w:tcPr>
            <w:tcW w:w="4680" w:type="dxa"/>
            <w:shd w:val="clear" w:color="auto" w:fill="auto"/>
            <w:tcMar>
              <w:top w:w="100" w:type="dxa"/>
              <w:left w:w="100" w:type="dxa"/>
              <w:bottom w:w="100" w:type="dxa"/>
              <w:right w:w="100" w:type="dxa"/>
            </w:tcMar>
          </w:tcPr>
          <w:p w14:paraId="2B19872B" w14:textId="36EC0BC3" w:rsidR="0016122E" w:rsidRDefault="00885F28">
            <w:pPr>
              <w:widowControl w:val="0"/>
              <w:spacing w:line="240" w:lineRule="auto"/>
              <w:rPr>
                <w:color w:val="FF0000"/>
              </w:rPr>
            </w:pPr>
            <w:r>
              <w:rPr>
                <w:color w:val="FF0000"/>
              </w:rPr>
              <w:t xml:space="preserve"> </w:t>
            </w:r>
          </w:p>
        </w:tc>
      </w:tr>
    </w:tbl>
    <w:p w14:paraId="34F635B0" w14:textId="77777777" w:rsidR="0016122E" w:rsidRDefault="0016122E"/>
    <w:p w14:paraId="64768317" w14:textId="77777777" w:rsidR="0016122E" w:rsidRDefault="00885F28">
      <w:pPr>
        <w:numPr>
          <w:ilvl w:val="0"/>
          <w:numId w:val="1"/>
        </w:numPr>
      </w:pPr>
      <w:r>
        <w:t>In the 3D view tab of the RCSB page, manipulate the protein with Mol*</w:t>
      </w:r>
    </w:p>
    <w:p w14:paraId="3190079C" w14:textId="77777777" w:rsidR="0016122E" w:rsidRDefault="00885F28">
      <w:pPr>
        <w:numPr>
          <w:ilvl w:val="1"/>
          <w:numId w:val="1"/>
        </w:numPr>
      </w:pPr>
      <w:r>
        <w:t xml:space="preserve">On the RCSB structure summary page of 3GEF, click on the 3D view “Structure”. </w:t>
      </w:r>
    </w:p>
    <w:p w14:paraId="7D80C7FB" w14:textId="77777777" w:rsidR="0016122E" w:rsidRDefault="00885F28">
      <w:pPr>
        <w:numPr>
          <w:ilvl w:val="1"/>
          <w:numId w:val="1"/>
        </w:numPr>
      </w:pPr>
      <w:r>
        <w:t>In toggle selection mode, select “Residue” for selection type in the upper toolbar. Highlight the mutated amino acid (W482). It may be easier to find the residue in the sequence</w:t>
      </w:r>
      <w:r>
        <w:t xml:space="preserve"> box above the structure and select its one letter code. </w:t>
      </w:r>
    </w:p>
    <w:p w14:paraId="5084DFFE" w14:textId="77777777" w:rsidR="0016122E" w:rsidRDefault="00885F28">
      <w:pPr>
        <w:numPr>
          <w:ilvl w:val="1"/>
          <w:numId w:val="1"/>
        </w:numPr>
      </w:pPr>
      <w:sdt>
        <w:sdtPr>
          <w:tag w:val="goog_rdk_2"/>
          <w:id w:val="650407484"/>
        </w:sdtPr>
        <w:sdtEndPr/>
        <w:sdtContent>
          <w:r>
            <w:rPr>
              <w:rFonts w:ascii="Arial Unicode MS" w:eastAsia="Arial Unicode MS" w:hAnsi="Arial Unicode MS" w:cs="Arial Unicode MS"/>
            </w:rPr>
            <w:t xml:space="preserve">Change the color of the residue by selecting the paintbrush on the toolbar. → Choose a color that contrasts with the rest of the chain→ click “Apply Theme”. </w:t>
          </w:r>
        </w:sdtContent>
      </w:sdt>
    </w:p>
    <w:p w14:paraId="1491FE33" w14:textId="77777777" w:rsidR="0016122E" w:rsidRDefault="00885F28">
      <w:pPr>
        <w:numPr>
          <w:ilvl w:val="1"/>
          <w:numId w:val="1"/>
        </w:numPr>
      </w:pPr>
      <w:sdt>
        <w:sdtPr>
          <w:tag w:val="goog_rdk_3"/>
          <w:id w:val="1417204102"/>
        </w:sdtPr>
        <w:sdtEndPr/>
        <w:sdtContent>
          <w:r>
            <w:rPr>
              <w:rFonts w:ascii="Arial Unicode MS" w:eastAsia="Arial Unicode MS" w:hAnsi="Arial Unicode MS" w:cs="Arial Unicode MS"/>
            </w:rPr>
            <w:t xml:space="preserve">Label the residue and small molecule by clicking on measurements → click on the small molecule/residue </w:t>
          </w:r>
          <w:proofErr w:type="gramStart"/>
          <w:r>
            <w:rPr>
              <w:rFonts w:ascii="Arial Unicode MS" w:eastAsia="Arial Unicode MS" w:hAnsi="Arial Unicode MS" w:cs="Arial Unicode MS"/>
            </w:rPr>
            <w:t>→  “</w:t>
          </w:r>
          <w:proofErr w:type="gramEnd"/>
          <w:r>
            <w:rPr>
              <w:rFonts w:ascii="Arial Unicode MS" w:eastAsia="Arial Unicode MS" w:hAnsi="Arial Unicode MS" w:cs="Arial Unicode MS"/>
            </w:rPr>
            <w:t xml:space="preserve">Add” → “Label”. </w:t>
          </w:r>
        </w:sdtContent>
      </w:sdt>
    </w:p>
    <w:p w14:paraId="3FD1A5B9" w14:textId="77777777" w:rsidR="0016122E" w:rsidRDefault="00885F28">
      <w:pPr>
        <w:numPr>
          <w:ilvl w:val="1"/>
          <w:numId w:val="1"/>
        </w:numPr>
      </w:pPr>
      <w:r>
        <w:t xml:space="preserve">Change the structure of the amino acid to ball and stick. </w:t>
      </w:r>
    </w:p>
    <w:p w14:paraId="68CF70B6" w14:textId="77777777" w:rsidR="0016122E" w:rsidRDefault="00885F28">
      <w:pPr>
        <w:numPr>
          <w:ilvl w:val="2"/>
          <w:numId w:val="1"/>
        </w:numPr>
      </w:pPr>
      <w:r>
        <w:t>Press the cursor button to enter toggle mode, and select residue W482</w:t>
      </w:r>
    </w:p>
    <w:p w14:paraId="7923F365" w14:textId="77777777" w:rsidR="0016122E" w:rsidRDefault="00885F28">
      <w:pPr>
        <w:numPr>
          <w:ilvl w:val="2"/>
          <w:numId w:val="1"/>
        </w:numPr>
      </w:pPr>
      <w:sdt>
        <w:sdtPr>
          <w:tag w:val="goog_rdk_4"/>
          <w:id w:val="1628811463"/>
        </w:sdtPr>
        <w:sdtEndPr/>
        <w:sdtContent>
          <w:r>
            <w:rPr>
              <w:rFonts w:ascii="Arial Unicode MS" w:eastAsia="Arial Unicode MS" w:hAnsi="Arial Unicode MS" w:cs="Arial Unicode MS"/>
            </w:rPr>
            <w:t>I</w:t>
          </w:r>
          <w:r>
            <w:rPr>
              <w:rFonts w:ascii="Arial Unicode MS" w:eastAsia="Arial Unicode MS" w:hAnsi="Arial Unicode MS" w:cs="Arial Unicode MS"/>
            </w:rPr>
            <w:t xml:space="preserve">n the structure settings box to the right, select “Components” → “+ Add” </w:t>
          </w:r>
        </w:sdtContent>
      </w:sdt>
    </w:p>
    <w:p w14:paraId="733D5E80" w14:textId="77777777" w:rsidR="0016122E" w:rsidRDefault="00885F28">
      <w:pPr>
        <w:numPr>
          <w:ilvl w:val="2"/>
          <w:numId w:val="1"/>
        </w:numPr>
      </w:pPr>
      <w:r>
        <w:t>Next to “Representation”, click &lt;Create Later&gt; and choose “Ball &amp; Stick”</w:t>
      </w:r>
    </w:p>
    <w:p w14:paraId="145F5B99" w14:textId="77777777" w:rsidR="0016122E" w:rsidRDefault="00885F28">
      <w:pPr>
        <w:numPr>
          <w:ilvl w:val="2"/>
          <w:numId w:val="1"/>
        </w:numPr>
      </w:pPr>
      <w:r>
        <w:t>Click “Create Component”</w:t>
      </w:r>
    </w:p>
    <w:p w14:paraId="2949C33E" w14:textId="77777777" w:rsidR="0016122E" w:rsidRDefault="00885F28">
      <w:pPr>
        <w:numPr>
          <w:ilvl w:val="1"/>
          <w:numId w:val="1"/>
        </w:numPr>
      </w:pPr>
      <w:r>
        <w:t xml:space="preserve">Save an image of the resulting structure. </w:t>
      </w:r>
    </w:p>
    <w:p w14:paraId="0DD3E004" w14:textId="77777777" w:rsidR="0016122E" w:rsidRDefault="00885F28">
      <w:pPr>
        <w:numPr>
          <w:ilvl w:val="1"/>
          <w:numId w:val="1"/>
        </w:numPr>
      </w:pPr>
      <w:r>
        <w:t>The purpose of locating W482 is to visu</w:t>
      </w:r>
      <w:r>
        <w:t xml:space="preserve">alize the amino acid mutation. </w:t>
      </w:r>
    </w:p>
    <w:p w14:paraId="1445BFAA" w14:textId="77777777" w:rsidR="0016122E" w:rsidRDefault="00885F28">
      <w:pPr>
        <w:numPr>
          <w:ilvl w:val="0"/>
          <w:numId w:val="1"/>
        </w:numPr>
      </w:pPr>
      <w:r>
        <w:t xml:space="preserve">Zoom in on W482 to show its potential interactions with surrounding molecules. </w:t>
      </w:r>
    </w:p>
    <w:p w14:paraId="52D697CD" w14:textId="77777777" w:rsidR="0016122E" w:rsidRDefault="00885F28">
      <w:pPr>
        <w:numPr>
          <w:ilvl w:val="1"/>
          <w:numId w:val="1"/>
        </w:numPr>
      </w:pPr>
      <w:r>
        <w:t xml:space="preserve">Exit toggle selection mode by clicking the toggle button (pointer) a second time. </w:t>
      </w:r>
    </w:p>
    <w:p w14:paraId="0D8A7269" w14:textId="77777777" w:rsidR="0016122E" w:rsidRDefault="00885F28">
      <w:pPr>
        <w:numPr>
          <w:ilvl w:val="1"/>
          <w:numId w:val="1"/>
        </w:numPr>
      </w:pPr>
      <w:r>
        <w:t xml:space="preserve">Select the residue in the sequence box to zoom in. </w:t>
      </w:r>
    </w:p>
    <w:p w14:paraId="1353DEF1" w14:textId="77777777" w:rsidR="0016122E" w:rsidRDefault="0016122E"/>
    <w:p w14:paraId="139C9141" w14:textId="0E590DB3" w:rsidR="0016122E" w:rsidRDefault="00885F28">
      <w:r>
        <w:t>Question</w:t>
      </w:r>
      <w:r>
        <w:t xml:space="preserve"> 4. Insert two images, 1. An image of the mutated </w:t>
      </w:r>
      <w:proofErr w:type="spellStart"/>
      <w:r>
        <w:t>Lamin</w:t>
      </w:r>
      <w:proofErr w:type="spellEnd"/>
      <w:r>
        <w:t xml:space="preserve"> A/C. 2. A zoomed in image to visualize the possible interactions between the surrounding molecules and W482. </w:t>
      </w:r>
    </w:p>
    <w:p w14:paraId="096F352B" w14:textId="0A575B63" w:rsidR="00885F28" w:rsidRDefault="00885F28"/>
    <w:p w14:paraId="0B260524" w14:textId="77777777" w:rsidR="00885F28" w:rsidRDefault="00885F28" w:rsidP="00885F28">
      <w:pPr>
        <w:rPr>
          <w:color w:val="FF0000"/>
        </w:rPr>
      </w:pPr>
      <w:r>
        <w:rPr>
          <w:color w:val="FF0000"/>
        </w:rPr>
        <w:t xml:space="preserve">Answer: </w:t>
      </w:r>
    </w:p>
    <w:p w14:paraId="5459913F" w14:textId="77777777" w:rsidR="00885F28" w:rsidRDefault="00885F28"/>
    <w:p w14:paraId="787D2BF3" w14:textId="6C1E7687" w:rsidR="0016122E" w:rsidRDefault="0016122E">
      <w:pPr>
        <w:ind w:left="720"/>
      </w:pPr>
    </w:p>
    <w:p w14:paraId="750BF219" w14:textId="77777777" w:rsidR="0016122E" w:rsidRDefault="0016122E">
      <w:pPr>
        <w:ind w:left="720"/>
      </w:pPr>
    </w:p>
    <w:p w14:paraId="6653ADC7" w14:textId="77777777" w:rsidR="0016122E" w:rsidRDefault="0016122E"/>
    <w:p w14:paraId="333E9F82" w14:textId="77777777" w:rsidR="0016122E" w:rsidRDefault="0016122E">
      <w:pPr>
        <w:rPr>
          <w:b/>
        </w:rPr>
      </w:pPr>
    </w:p>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6122E" w14:paraId="63BA2C8C" w14:textId="77777777">
        <w:tc>
          <w:tcPr>
            <w:tcW w:w="9360" w:type="dxa"/>
            <w:shd w:val="clear" w:color="auto" w:fill="EFEFEF"/>
            <w:tcMar>
              <w:top w:w="100" w:type="dxa"/>
              <w:left w:w="100" w:type="dxa"/>
              <w:bottom w:w="100" w:type="dxa"/>
              <w:right w:w="100" w:type="dxa"/>
            </w:tcMar>
          </w:tcPr>
          <w:p w14:paraId="047A0D81" w14:textId="77777777" w:rsidR="0016122E" w:rsidRDefault="00885F28">
            <w:pPr>
              <w:widowControl w:val="0"/>
              <w:pBdr>
                <w:top w:val="nil"/>
                <w:left w:val="nil"/>
                <w:bottom w:val="nil"/>
                <w:right w:val="nil"/>
                <w:between w:val="nil"/>
              </w:pBdr>
              <w:spacing w:line="240" w:lineRule="auto"/>
              <w:rPr>
                <w:b/>
              </w:rPr>
            </w:pPr>
            <w:r>
              <w:rPr>
                <w:b/>
              </w:rPr>
              <w:t>Background Information:</w:t>
            </w:r>
          </w:p>
          <w:p w14:paraId="5964C815" w14:textId="77777777" w:rsidR="0016122E" w:rsidRDefault="0016122E">
            <w:pPr>
              <w:widowControl w:val="0"/>
              <w:pBdr>
                <w:top w:val="nil"/>
                <w:left w:val="nil"/>
                <w:bottom w:val="nil"/>
                <w:right w:val="nil"/>
                <w:between w:val="nil"/>
              </w:pBdr>
              <w:spacing w:line="240" w:lineRule="auto"/>
              <w:rPr>
                <w:b/>
              </w:rPr>
            </w:pPr>
          </w:p>
          <w:p w14:paraId="0A5CACA4" w14:textId="77777777" w:rsidR="0016122E" w:rsidRDefault="00885F28">
            <w:pPr>
              <w:widowControl w:val="0"/>
              <w:pBdr>
                <w:top w:val="nil"/>
                <w:left w:val="nil"/>
                <w:bottom w:val="nil"/>
                <w:right w:val="nil"/>
                <w:between w:val="nil"/>
              </w:pBdr>
              <w:spacing w:line="240" w:lineRule="auto"/>
              <w:rPr>
                <w:b/>
              </w:rPr>
            </w:pPr>
            <w:r>
              <w:rPr>
                <w:b/>
              </w:rPr>
              <w:t>If needed, use this source to help answer question 5.</w:t>
            </w:r>
          </w:p>
          <w:p w14:paraId="2057CF58" w14:textId="77777777" w:rsidR="0016122E" w:rsidRDefault="00885F28">
            <w:pPr>
              <w:widowControl w:val="0"/>
              <w:pBdr>
                <w:top w:val="nil"/>
                <w:left w:val="nil"/>
                <w:bottom w:val="nil"/>
                <w:right w:val="nil"/>
                <w:between w:val="nil"/>
              </w:pBdr>
              <w:spacing w:line="240" w:lineRule="auto"/>
            </w:pPr>
            <w:r>
              <w:t>Amino Acid Biological Structures and Characteristics:</w:t>
            </w:r>
            <w:r>
              <w:rPr>
                <w:b/>
              </w:rPr>
              <w:t xml:space="preserve"> </w:t>
            </w:r>
            <w:hyperlink r:id="rId9">
              <w:r>
                <w:rPr>
                  <w:color w:val="1155CC"/>
                </w:rPr>
                <w:t>Amino acid properties (iarc.fr)</w:t>
              </w:r>
            </w:hyperlink>
          </w:p>
        </w:tc>
      </w:tr>
    </w:tbl>
    <w:p w14:paraId="784BDEEF" w14:textId="77777777" w:rsidR="0016122E" w:rsidRDefault="0016122E">
      <w:pPr>
        <w:rPr>
          <w:b/>
        </w:rPr>
      </w:pPr>
    </w:p>
    <w:p w14:paraId="11B45C21" w14:textId="77777777" w:rsidR="0016122E" w:rsidRDefault="00885F28">
      <w:r>
        <w:t>Question 5: Compare the amino acids involved in the mutat</w:t>
      </w:r>
      <w:r>
        <w:t xml:space="preserve">ion (structures and biological characteristics). Include images of the two amino acids. Why do you think the mutation causes a change in binding? </w:t>
      </w:r>
    </w:p>
    <w:p w14:paraId="4F3F27A4" w14:textId="77777777" w:rsidR="0016122E" w:rsidRDefault="0016122E">
      <w:pPr>
        <w:rPr>
          <w:color w:val="FF0000"/>
        </w:rPr>
      </w:pPr>
    </w:p>
    <w:p w14:paraId="44E0AD9F" w14:textId="77777777" w:rsidR="0016122E" w:rsidRDefault="00885F28">
      <w:pPr>
        <w:rPr>
          <w:color w:val="FF0000"/>
        </w:rPr>
      </w:pPr>
      <w:r>
        <w:rPr>
          <w:color w:val="FF0000"/>
        </w:rPr>
        <w:t xml:space="preserve">Answer: </w:t>
      </w:r>
    </w:p>
    <w:p w14:paraId="13CC9685" w14:textId="67B5FA99" w:rsidR="0016122E" w:rsidRDefault="00885F28">
      <w:pPr>
        <w:rPr>
          <w:color w:val="FF0000"/>
        </w:rPr>
      </w:pPr>
      <w:r>
        <w:rPr>
          <w:color w:val="FF0000"/>
        </w:rPr>
        <w:t xml:space="preserve"> </w:t>
      </w:r>
      <w:r>
        <w:rPr>
          <w:color w:val="FF0000"/>
        </w:rPr>
        <w:t xml:space="preserve"> </w:t>
      </w:r>
    </w:p>
    <w:p w14:paraId="4B5BAC9A" w14:textId="2F27CE9E" w:rsidR="00885F28" w:rsidRDefault="00885F28">
      <w:pPr>
        <w:rPr>
          <w:color w:val="FF0000"/>
        </w:rPr>
      </w:pPr>
    </w:p>
    <w:p w14:paraId="252E6256" w14:textId="7F7F3609" w:rsidR="00885F28" w:rsidRDefault="00885F28">
      <w:pPr>
        <w:rPr>
          <w:color w:val="FF0000"/>
        </w:rPr>
      </w:pPr>
    </w:p>
    <w:p w14:paraId="4E48EB55" w14:textId="5E7903A7" w:rsidR="00885F28" w:rsidRDefault="00885F28">
      <w:pPr>
        <w:rPr>
          <w:color w:val="FF0000"/>
        </w:rPr>
      </w:pPr>
    </w:p>
    <w:p w14:paraId="638E0D76" w14:textId="5BA74201" w:rsidR="00885F28" w:rsidRDefault="00885F28">
      <w:pPr>
        <w:rPr>
          <w:color w:val="FF0000"/>
        </w:rPr>
      </w:pPr>
    </w:p>
    <w:p w14:paraId="3A9C0DE9" w14:textId="0FCE6C8E" w:rsidR="00885F28" w:rsidRDefault="00885F28">
      <w:pPr>
        <w:rPr>
          <w:color w:val="FF0000"/>
        </w:rPr>
      </w:pPr>
    </w:p>
    <w:p w14:paraId="7D272CF1" w14:textId="62F423F1" w:rsidR="00885F28" w:rsidRDefault="00885F28">
      <w:pPr>
        <w:rPr>
          <w:color w:val="FF0000"/>
        </w:rPr>
      </w:pPr>
    </w:p>
    <w:p w14:paraId="4B13C145" w14:textId="4FEA6369" w:rsidR="00885F28" w:rsidRDefault="00885F28">
      <w:pPr>
        <w:rPr>
          <w:color w:val="FF0000"/>
        </w:rPr>
      </w:pPr>
    </w:p>
    <w:p w14:paraId="6DF489D6" w14:textId="5958B6A6" w:rsidR="00885F28" w:rsidRDefault="00885F28">
      <w:pPr>
        <w:rPr>
          <w:color w:val="FF0000"/>
        </w:rPr>
      </w:pPr>
    </w:p>
    <w:p w14:paraId="3B63EB53" w14:textId="77777777" w:rsidR="00885F28" w:rsidRDefault="00885F28">
      <w:pPr>
        <w:rPr>
          <w:color w:val="FF0000"/>
        </w:rPr>
      </w:pPr>
    </w:p>
    <w:sectPr w:rsidR="00885F2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6232CD"/>
    <w:multiLevelType w:val="multilevel"/>
    <w:tmpl w:val="30CEB03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22E"/>
    <w:rsid w:val="0016122E"/>
    <w:rsid w:val="00885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525502"/>
  <w15:docId w15:val="{EF5DA5B4-80F3-094D-8B67-2C6E809F6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rcsb.org/" TargetMode="External"/><Relationship Id="rId3" Type="http://schemas.openxmlformats.org/officeDocument/2006/relationships/styles" Target="styles.xml"/><Relationship Id="rId7" Type="http://schemas.openxmlformats.org/officeDocument/2006/relationships/hyperlink" Target="https://www.rcsb.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cbi.nlm.nih.gov/pmc/articles/PMC270563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53.iarc.fr/AAproperti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uwo6efRnM1Xc4wFZ0v2muMBdpg==">AMUW2mUVDqF1IvPwfeBkVRcRD5aXOF+x5gJEozOltPzydL0l0hAumdD12sHPoviayycaD/Znaxu3T43um7vV7mL0cNo99x0aX/6Mgpu9EkBglOnOjim912vquvkXL1WZ+6s+Eci/mVASxodk9QKUOlemflISEIiDAIQrARZuu7Qa2ABj+I4DVX1gblTMOsIhBWL/Jkc3hs8AksrQh5PNyOzsmBy/YIGY8WGKmAw1Hs9xnsv48okAe7lswdDMqX5SH4ypj769f/2TxZb6o00gumU0bwbb18OdFIQfYfiaKXyI+9IItRnbjTEBNh8h0D3ih85F1tFK9GaKKElFzUzUBsHd7poyQXa+P98AELPIHwM4Vy6huOZggqeC7046M9oQa8Bg2bB97q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872</Words>
  <Characters>4974</Characters>
  <Application>Microsoft Office Word</Application>
  <DocSecurity>0</DocSecurity>
  <Lines>41</Lines>
  <Paragraphs>11</Paragraphs>
  <ScaleCrop>false</ScaleCrop>
  <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josibecker</dc:creator>
  <cp:lastModifiedBy>Shuchismita Dutta</cp:lastModifiedBy>
  <cp:revision>2</cp:revision>
  <dcterms:created xsi:type="dcterms:W3CDTF">2021-05-10T18:09:00Z</dcterms:created>
  <dcterms:modified xsi:type="dcterms:W3CDTF">2022-01-28T12:13:00Z</dcterms:modified>
</cp:coreProperties>
</file>