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1DB016" w14:textId="77777777" w:rsidR="004F201F" w:rsidRDefault="00A369B6">
      <w:pPr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Variant Acid </w:t>
      </w:r>
      <w:r>
        <w:rPr>
          <w:rFonts w:ascii="Noto Sans Symbols" w:eastAsia="Noto Sans Symbols" w:hAnsi="Noto Sans Symbols" w:cs="Noto Sans Symbols"/>
          <w:b/>
          <w:sz w:val="36"/>
          <w:szCs w:val="36"/>
        </w:rPr>
        <w:t>β</w:t>
      </w:r>
      <w:r>
        <w:rPr>
          <w:b/>
          <w:sz w:val="36"/>
          <w:szCs w:val="36"/>
        </w:rPr>
        <w:t>-Glucosidase and Gaucher disease</w:t>
      </w:r>
    </w:p>
    <w:p w14:paraId="58F91827" w14:textId="27BEF1B5" w:rsidR="004F201F" w:rsidRDefault="00D72A5F">
      <w:pPr>
        <w:pBdr>
          <w:top w:val="nil"/>
          <w:left w:val="nil"/>
          <w:bottom w:val="nil"/>
          <w:right w:val="nil"/>
          <w:between w:val="nil"/>
        </w:pBdr>
        <w:spacing w:before="38" w:line="276" w:lineRule="auto"/>
        <w:ind w:left="100" w:right="181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Resources</w:t>
      </w:r>
    </w:p>
    <w:p w14:paraId="6611E907" w14:textId="46061958" w:rsidR="004F201F" w:rsidRDefault="00A369B6" w:rsidP="00D72A5F">
      <w:pPr>
        <w:pBdr>
          <w:top w:val="nil"/>
          <w:left w:val="nil"/>
          <w:bottom w:val="nil"/>
          <w:right w:val="nil"/>
          <w:between w:val="nil"/>
        </w:pBdr>
        <w:tabs>
          <w:tab w:val="left" w:pos="820"/>
        </w:tabs>
        <w:spacing w:before="91" w:line="276" w:lineRule="auto"/>
        <w:rPr>
          <w:color w:val="000000"/>
          <w:sz w:val="20"/>
          <w:szCs w:val="20"/>
        </w:rPr>
      </w:pPr>
      <w:r>
        <w:rPr>
          <w:b/>
          <w:color w:val="000000"/>
          <w:u w:val="single"/>
        </w:rPr>
        <w:t>Authors</w:t>
      </w:r>
      <w:r w:rsidR="00D72A5F">
        <w:rPr>
          <w:b/>
          <w:color w:val="000000"/>
          <w:u w:val="single"/>
        </w:rPr>
        <w:t>:</w:t>
      </w:r>
      <w:r w:rsidR="00D72A5F">
        <w:rPr>
          <w:b/>
          <w:color w:val="000000"/>
        </w:rPr>
        <w:t xml:space="preserve"> </w:t>
      </w:r>
      <w:r>
        <w:rPr>
          <w:color w:val="000000"/>
          <w:sz w:val="20"/>
          <w:szCs w:val="20"/>
        </w:rPr>
        <w:t xml:space="preserve">Kathleen </w:t>
      </w:r>
      <w:proofErr w:type="spellStart"/>
      <w:r>
        <w:rPr>
          <w:color w:val="000000"/>
          <w:sz w:val="20"/>
          <w:szCs w:val="20"/>
        </w:rPr>
        <w:t>Cornely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Roderico</w:t>
      </w:r>
      <w:proofErr w:type="spellEnd"/>
      <w:r>
        <w:rPr>
          <w:color w:val="000000"/>
          <w:sz w:val="20"/>
          <w:szCs w:val="20"/>
        </w:rPr>
        <w:t xml:space="preserve"> Acevedo, </w:t>
      </w:r>
      <w:r w:rsidR="00D72A5F">
        <w:rPr>
          <w:color w:val="000000"/>
          <w:sz w:val="20"/>
          <w:szCs w:val="20"/>
        </w:rPr>
        <w:t xml:space="preserve">and </w:t>
      </w:r>
      <w:r>
        <w:rPr>
          <w:color w:val="000000"/>
          <w:sz w:val="20"/>
          <w:szCs w:val="20"/>
        </w:rPr>
        <w:t xml:space="preserve">Kristen </w:t>
      </w:r>
      <w:proofErr w:type="spellStart"/>
      <w:r>
        <w:rPr>
          <w:color w:val="000000"/>
          <w:sz w:val="20"/>
          <w:szCs w:val="20"/>
        </w:rPr>
        <w:t>Procko</w:t>
      </w:r>
      <w:proofErr w:type="spellEnd"/>
      <w:r w:rsidR="00D72A5F">
        <w:rPr>
          <w:color w:val="000000"/>
          <w:sz w:val="20"/>
          <w:szCs w:val="20"/>
        </w:rPr>
        <w:t xml:space="preserve"> </w:t>
      </w:r>
    </w:p>
    <w:p w14:paraId="2A588E92" w14:textId="77777777" w:rsidR="004F201F" w:rsidRDefault="004F201F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0"/>
          <w:szCs w:val="20"/>
        </w:rPr>
      </w:pPr>
    </w:p>
    <w:p w14:paraId="6A78A0B6" w14:textId="71717F2A" w:rsidR="004F201F" w:rsidRDefault="00A369B6">
      <w:pPr>
        <w:spacing w:before="91" w:line="276" w:lineRule="auto"/>
        <w:ind w:left="100" w:right="181"/>
      </w:pPr>
      <w:r>
        <w:t xml:space="preserve">The following papers will assist </w:t>
      </w:r>
      <w:r w:rsidRPr="00D72A5F">
        <w:rPr>
          <w:b/>
          <w:bCs/>
        </w:rPr>
        <w:t>instructor preparation for the ca</w:t>
      </w:r>
      <w:r w:rsidRPr="00D72A5F">
        <w:rPr>
          <w:b/>
          <w:bCs/>
        </w:rPr>
        <w:t>se</w:t>
      </w:r>
      <w:r>
        <w:t>:</w:t>
      </w:r>
    </w:p>
    <w:p w14:paraId="30BA4D5F" w14:textId="77777777" w:rsidR="004F201F" w:rsidRDefault="00A369B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-504"/>
          <w:tab w:val="left" w:pos="0"/>
          <w:tab w:val="left" w:pos="396"/>
          <w:tab w:val="left" w:pos="720"/>
          <w:tab w:val="left" w:pos="900"/>
          <w:tab w:val="left" w:pos="1080"/>
          <w:tab w:val="left" w:pos="1440"/>
          <w:tab w:val="left" w:pos="1836"/>
          <w:tab w:val="left" w:pos="2160"/>
          <w:tab w:val="left" w:pos="2556"/>
          <w:tab w:val="left" w:pos="2880"/>
          <w:tab w:val="left" w:pos="3276"/>
          <w:tab w:val="left" w:pos="3600"/>
          <w:tab w:val="left" w:pos="3996"/>
          <w:tab w:val="left" w:pos="4320"/>
          <w:tab w:val="left" w:pos="4716"/>
          <w:tab w:val="left" w:pos="5040"/>
          <w:tab w:val="left" w:pos="5436"/>
          <w:tab w:val="left" w:pos="5760"/>
          <w:tab w:val="left" w:pos="6156"/>
          <w:tab w:val="left" w:pos="6480"/>
          <w:tab w:val="left" w:pos="6876"/>
          <w:tab w:val="left" w:pos="7200"/>
          <w:tab w:val="left" w:pos="7920"/>
          <w:tab w:val="left" w:pos="8640"/>
          <w:tab w:val="left" w:pos="9360"/>
          <w:tab w:val="left" w:pos="10080"/>
          <w:tab w:val="left" w:pos="10439"/>
        </w:tabs>
        <w:spacing w:before="91" w:line="276" w:lineRule="auto"/>
        <w:ind w:left="720"/>
        <w:rPr>
          <w:color w:val="000000"/>
        </w:rPr>
      </w:pPr>
      <w:proofErr w:type="spellStart"/>
      <w:r>
        <w:rPr>
          <w:color w:val="000000"/>
        </w:rPr>
        <w:t>Liou</w:t>
      </w:r>
      <w:proofErr w:type="spellEnd"/>
      <w:r>
        <w:rPr>
          <w:color w:val="000000"/>
        </w:rPr>
        <w:t xml:space="preserve">, B., </w:t>
      </w:r>
      <w:proofErr w:type="spellStart"/>
      <w:r>
        <w:rPr>
          <w:color w:val="000000"/>
        </w:rPr>
        <w:t>Kazimeirczuk</w:t>
      </w:r>
      <w:proofErr w:type="spellEnd"/>
      <w:r>
        <w:rPr>
          <w:color w:val="000000"/>
        </w:rPr>
        <w:t xml:space="preserve">, A., Zhang, M., Scott, C. R., Hegde, R. S., and Grabowski, G. A. (2006) Analysis of variant acid b-glucosidases, </w:t>
      </w:r>
      <w:r>
        <w:rPr>
          <w:i/>
          <w:color w:val="000000"/>
        </w:rPr>
        <w:t>J. Biol. Chem.</w:t>
      </w:r>
      <w:r>
        <w:rPr>
          <w:color w:val="000000"/>
        </w:rPr>
        <w:t xml:space="preserve"> </w:t>
      </w:r>
      <w:r>
        <w:rPr>
          <w:b/>
          <w:color w:val="000000"/>
        </w:rPr>
        <w:t>281(7)</w:t>
      </w:r>
      <w:r>
        <w:rPr>
          <w:color w:val="000000"/>
        </w:rPr>
        <w:t>, 4242-4253.</w:t>
      </w:r>
    </w:p>
    <w:p w14:paraId="7636F486" w14:textId="77777777" w:rsidR="004F201F" w:rsidRDefault="00A369B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91" w:line="276" w:lineRule="auto"/>
        <w:ind w:left="720"/>
      </w:pPr>
      <w:r>
        <w:rPr>
          <w:color w:val="000000"/>
        </w:rPr>
        <w:t xml:space="preserve">Siebert, M., </w:t>
      </w:r>
      <w:proofErr w:type="spellStart"/>
      <w:r>
        <w:rPr>
          <w:color w:val="000000"/>
        </w:rPr>
        <w:t>Sidransky</w:t>
      </w:r>
      <w:proofErr w:type="spellEnd"/>
      <w:r>
        <w:rPr>
          <w:color w:val="000000"/>
        </w:rPr>
        <w:t xml:space="preserve">, E., and </w:t>
      </w:r>
      <w:proofErr w:type="spellStart"/>
      <w:r>
        <w:rPr>
          <w:color w:val="000000"/>
        </w:rPr>
        <w:t>Westbroek</w:t>
      </w:r>
      <w:proofErr w:type="spellEnd"/>
      <w:r>
        <w:rPr>
          <w:color w:val="000000"/>
        </w:rPr>
        <w:t xml:space="preserve">, W. (2014) Glucocerebrosidase is shaking up </w:t>
      </w:r>
      <w:r>
        <w:rPr>
          <w:color w:val="000000"/>
        </w:rPr>
        <w:t xml:space="preserve">the </w:t>
      </w:r>
      <w:proofErr w:type="spellStart"/>
      <w:r>
        <w:rPr>
          <w:color w:val="000000"/>
        </w:rPr>
        <w:t>synucleinopathies</w:t>
      </w:r>
      <w:proofErr w:type="spellEnd"/>
      <w:r>
        <w:rPr>
          <w:color w:val="000000"/>
        </w:rPr>
        <w:t xml:space="preserve">.  </w:t>
      </w:r>
      <w:r>
        <w:rPr>
          <w:i/>
          <w:color w:val="000000"/>
        </w:rPr>
        <w:t xml:space="preserve">Brain </w:t>
      </w:r>
      <w:r>
        <w:rPr>
          <w:b/>
          <w:color w:val="000000"/>
        </w:rPr>
        <w:t>137</w:t>
      </w:r>
      <w:r>
        <w:rPr>
          <w:color w:val="000000"/>
        </w:rPr>
        <w:t>, 1304-1322.</w:t>
      </w:r>
    </w:p>
    <w:p w14:paraId="354FAFAB" w14:textId="77777777" w:rsidR="004F201F" w:rsidRDefault="00A369B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-504"/>
          <w:tab w:val="left" w:pos="0"/>
          <w:tab w:val="left" w:pos="396"/>
          <w:tab w:val="left" w:pos="720"/>
          <w:tab w:val="left" w:pos="900"/>
          <w:tab w:val="left" w:pos="1080"/>
          <w:tab w:val="left" w:pos="1440"/>
          <w:tab w:val="left" w:pos="1836"/>
          <w:tab w:val="left" w:pos="2160"/>
          <w:tab w:val="left" w:pos="2556"/>
          <w:tab w:val="left" w:pos="2880"/>
          <w:tab w:val="left" w:pos="3276"/>
          <w:tab w:val="left" w:pos="3600"/>
          <w:tab w:val="left" w:pos="3996"/>
          <w:tab w:val="left" w:pos="4320"/>
          <w:tab w:val="left" w:pos="4716"/>
          <w:tab w:val="left" w:pos="5040"/>
          <w:tab w:val="left" w:pos="5436"/>
          <w:tab w:val="left" w:pos="5760"/>
          <w:tab w:val="left" w:pos="6156"/>
          <w:tab w:val="left" w:pos="6480"/>
          <w:tab w:val="left" w:pos="6876"/>
          <w:tab w:val="left" w:pos="7200"/>
          <w:tab w:val="left" w:pos="7920"/>
          <w:tab w:val="left" w:pos="8640"/>
          <w:tab w:val="left" w:pos="9360"/>
          <w:tab w:val="left" w:pos="10080"/>
          <w:tab w:val="left" w:pos="10439"/>
        </w:tabs>
        <w:spacing w:before="91" w:line="276" w:lineRule="auto"/>
        <w:ind w:left="720"/>
        <w:rPr>
          <w:color w:val="000000"/>
        </w:rPr>
      </w:pPr>
      <w:r>
        <w:rPr>
          <w:color w:val="000000"/>
        </w:rPr>
        <w:t xml:space="preserve">Smith, L, Mullin, S., and </w:t>
      </w:r>
      <w:proofErr w:type="spellStart"/>
      <w:r>
        <w:rPr>
          <w:color w:val="000000"/>
        </w:rPr>
        <w:t>Schapira</w:t>
      </w:r>
      <w:proofErr w:type="spellEnd"/>
      <w:r>
        <w:rPr>
          <w:color w:val="000000"/>
        </w:rPr>
        <w:t xml:space="preserve">, A. H. V. (2017) Insights into the structural biology of Gaucher disease. </w:t>
      </w:r>
      <w:r>
        <w:rPr>
          <w:i/>
          <w:color w:val="000000"/>
        </w:rPr>
        <w:t>Exp. Neuro.</w:t>
      </w:r>
      <w:r>
        <w:rPr>
          <w:color w:val="000000"/>
        </w:rPr>
        <w:t xml:space="preserve"> </w:t>
      </w:r>
      <w:r>
        <w:rPr>
          <w:b/>
          <w:color w:val="000000"/>
        </w:rPr>
        <w:t>298</w:t>
      </w:r>
      <w:r>
        <w:rPr>
          <w:color w:val="000000"/>
        </w:rPr>
        <w:t>, 180-190.</w:t>
      </w:r>
    </w:p>
    <w:p w14:paraId="6BB4AFC4" w14:textId="49A3B627" w:rsidR="004F201F" w:rsidRDefault="00A369B6">
      <w:pPr>
        <w:spacing w:before="91" w:line="276" w:lineRule="auto"/>
        <w:ind w:left="100" w:right="181"/>
      </w:pPr>
      <w:r>
        <w:rPr>
          <w:b/>
        </w:rPr>
        <w:t>Suggested</w:t>
      </w:r>
      <w:r>
        <w:rPr>
          <w:b/>
        </w:rPr>
        <w:t xml:space="preserve"> Student Preparation</w:t>
      </w:r>
    </w:p>
    <w:p w14:paraId="0DC7DF14" w14:textId="77777777" w:rsidR="004F201F" w:rsidRDefault="00A369B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91" w:line="276" w:lineRule="auto"/>
        <w:ind w:left="720"/>
      </w:pPr>
      <w:r>
        <w:rPr>
          <w:color w:val="000000"/>
          <w:u w:val="single"/>
        </w:rPr>
        <w:t>Student preparation Step 1</w:t>
      </w:r>
      <w:r>
        <w:rPr>
          <w:color w:val="000000"/>
        </w:rPr>
        <w:t xml:space="preserve">: Students will need to be provided with the basics of how to use the program </w:t>
      </w:r>
      <w:proofErr w:type="spellStart"/>
      <w:r>
        <w:rPr>
          <w:color w:val="000000"/>
        </w:rPr>
        <w:t>PyMOL</w:t>
      </w:r>
      <w:proofErr w:type="spellEnd"/>
      <w:r>
        <w:rPr>
          <w:color w:val="000000"/>
        </w:rPr>
        <w:t xml:space="preserve"> or an equivalent program, to carry out the exercises in the case study.</w:t>
      </w:r>
    </w:p>
    <w:p w14:paraId="47C5B2E5" w14:textId="77777777" w:rsidR="004F201F" w:rsidRDefault="00A369B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91" w:line="276" w:lineRule="auto"/>
        <w:ind w:left="720"/>
      </w:pPr>
      <w:r>
        <w:rPr>
          <w:color w:val="000000"/>
          <w:u w:val="single"/>
        </w:rPr>
        <w:t>Student preparation Step 2</w:t>
      </w:r>
      <w:r>
        <w:rPr>
          <w:color w:val="000000"/>
        </w:rPr>
        <w:t>: An introduction to the case, including a discussion of the strategies used by the inhibitors to treat the disease, would be helpful. If cellular trafficking is not covered in the course, a review of the mechanism used by the cell to target proteins to th</w:t>
      </w:r>
      <w:r>
        <w:rPr>
          <w:color w:val="000000"/>
        </w:rPr>
        <w:t>e lysosomes would be helpful.</w:t>
      </w:r>
    </w:p>
    <w:p w14:paraId="694C509B" w14:textId="5C307EBD" w:rsidR="004F201F" w:rsidRPr="00D72A5F" w:rsidRDefault="00D72A5F" w:rsidP="00D72A5F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91" w:line="276" w:lineRule="auto"/>
        <w:ind w:left="360"/>
        <w:rPr>
          <w:b/>
          <w:bCs/>
        </w:rPr>
      </w:pPr>
      <w:r>
        <w:rPr>
          <w:b/>
          <w:bCs/>
          <w:color w:val="000000"/>
        </w:rPr>
        <w:t xml:space="preserve">Other </w:t>
      </w:r>
      <w:r w:rsidR="00A369B6" w:rsidRPr="00D72A5F">
        <w:rPr>
          <w:b/>
          <w:bCs/>
          <w:color w:val="000000"/>
        </w:rPr>
        <w:t>Resources</w:t>
      </w:r>
    </w:p>
    <w:p w14:paraId="2FBD28CB" w14:textId="77777777" w:rsidR="004F201F" w:rsidRDefault="00A369B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39"/>
          <w:tab w:val="left" w:pos="1540"/>
        </w:tabs>
        <w:spacing w:before="91" w:line="276" w:lineRule="auto"/>
        <w:ind w:left="1080"/>
        <w:rPr>
          <w:color w:val="000000"/>
        </w:rPr>
      </w:pPr>
      <w:r>
        <w:rPr>
          <w:color w:val="000000"/>
        </w:rPr>
        <w:t xml:space="preserve">In addition to materials provided by the instructor that assist students in their learning of the pre-requisite material, students will need access to the molecular visualization program </w:t>
      </w:r>
      <w:proofErr w:type="spellStart"/>
      <w:r>
        <w:rPr>
          <w:color w:val="000000"/>
        </w:rPr>
        <w:t>PyMOL</w:t>
      </w:r>
      <w:proofErr w:type="spellEnd"/>
      <w:r>
        <w:rPr>
          <w:color w:val="000000"/>
        </w:rPr>
        <w:t>. Colleges and universities can obtain a site license for this s</w:t>
      </w:r>
      <w:r>
        <w:rPr>
          <w:color w:val="000000"/>
        </w:rPr>
        <w:t xml:space="preserve">oftware for a reasonable price; a free version of the program is also available </w:t>
      </w:r>
      <w:hyperlink r:id="rId8">
        <w:r>
          <w:rPr>
            <w:color w:val="0000FF"/>
            <w:u w:val="single"/>
          </w:rPr>
          <w:t>https://pymol.org/2/</w:t>
        </w:r>
      </w:hyperlink>
    </w:p>
    <w:p w14:paraId="06D2CF76" w14:textId="77777777" w:rsidR="004F201F" w:rsidRDefault="00A369B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39"/>
          <w:tab w:val="left" w:pos="1540"/>
        </w:tabs>
        <w:spacing w:before="91" w:line="276" w:lineRule="auto"/>
        <w:ind w:left="1080"/>
        <w:rPr>
          <w:color w:val="000000"/>
        </w:rPr>
      </w:pPr>
      <w:r>
        <w:rPr>
          <w:color w:val="000000"/>
        </w:rPr>
        <w:t>The character Lila is based on an actual patient case study. An interview with the patient can be found at this lin</w:t>
      </w:r>
      <w:r>
        <w:rPr>
          <w:color w:val="000000"/>
        </w:rPr>
        <w:t xml:space="preserve">k: </w:t>
      </w:r>
      <w:hyperlink r:id="rId9">
        <w:r>
          <w:rPr>
            <w:color w:val="0000FF"/>
            <w:u w:val="single"/>
          </w:rPr>
          <w:t>https://www.youtube.com/watch?v=4SBChnEvKlY&amp;t=8s</w:t>
        </w:r>
      </w:hyperlink>
    </w:p>
    <w:p w14:paraId="1A4D10C9" w14:textId="4B7AFF63" w:rsidR="004F201F" w:rsidRDefault="004F201F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539"/>
          <w:tab w:val="left" w:pos="1540"/>
        </w:tabs>
        <w:spacing w:before="91" w:line="276" w:lineRule="auto"/>
        <w:ind w:left="1080"/>
      </w:pPr>
    </w:p>
    <w:sectPr w:rsidR="004F201F">
      <w:headerReference w:type="default" r:id="rId10"/>
      <w:footerReference w:type="default" r:id="rId11"/>
      <w:pgSz w:w="12240" w:h="15840"/>
      <w:pgMar w:top="1940" w:right="1340" w:bottom="280" w:left="1340" w:header="823" w:footer="8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74BFA5" w14:textId="77777777" w:rsidR="00A369B6" w:rsidRDefault="00A369B6">
      <w:r>
        <w:separator/>
      </w:r>
    </w:p>
  </w:endnote>
  <w:endnote w:type="continuationSeparator" w:id="0">
    <w:p w14:paraId="5D0002F8" w14:textId="77777777" w:rsidR="00A369B6" w:rsidRDefault="00A36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6A97AD" w14:textId="77777777" w:rsidR="004F201F" w:rsidRDefault="00A369B6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b/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72A5F">
      <w:rPr>
        <w:noProof/>
        <w:color w:val="000000"/>
      </w:rPr>
      <w:t>1</w:t>
    </w:r>
    <w:r>
      <w:rPr>
        <w:color w:val="000000"/>
      </w:rPr>
      <w:fldChar w:fldCharType="end"/>
    </w:r>
    <w:r>
      <w:rPr>
        <w:b/>
        <w:color w:val="000000"/>
      </w:rPr>
      <w:t xml:space="preserve"> | </w:t>
    </w:r>
    <w:r>
      <w:rPr>
        <w:color w:val="7F7F7F"/>
      </w:rPr>
      <w:t>Page</w:t>
    </w:r>
  </w:p>
  <w:p w14:paraId="7249C161" w14:textId="77777777" w:rsidR="004F201F" w:rsidRDefault="004F201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3D8D7D" w14:textId="77777777" w:rsidR="00A369B6" w:rsidRDefault="00A369B6">
      <w:r>
        <w:separator/>
      </w:r>
    </w:p>
  </w:footnote>
  <w:footnote w:type="continuationSeparator" w:id="0">
    <w:p w14:paraId="29B26C8F" w14:textId="77777777" w:rsidR="00A369B6" w:rsidRDefault="00A36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A0C080" w14:textId="77777777" w:rsidR="004F201F" w:rsidRDefault="004F201F">
    <w:pPr>
      <w:pBdr>
        <w:top w:val="nil"/>
        <w:left w:val="nil"/>
        <w:bottom w:val="nil"/>
        <w:right w:val="nil"/>
        <w:between w:val="nil"/>
      </w:pBdr>
      <w:spacing w:line="14" w:lineRule="auto"/>
    </w:pPr>
  </w:p>
  <w:p w14:paraId="5F05A8A5" w14:textId="77777777" w:rsidR="004F201F" w:rsidRDefault="004F201F">
    <w:pPr>
      <w:pBdr>
        <w:top w:val="nil"/>
        <w:left w:val="nil"/>
        <w:bottom w:val="nil"/>
        <w:right w:val="nil"/>
        <w:between w:val="nil"/>
      </w:pBdr>
      <w:spacing w:line="14" w:lineRule="auto"/>
    </w:pPr>
  </w:p>
  <w:p w14:paraId="772399FB" w14:textId="77777777" w:rsidR="004F201F" w:rsidRDefault="00A369B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6BA71D75" wp14:editId="052206C5">
          <wp:simplePos x="0" y="0"/>
          <wp:positionH relativeFrom="page">
            <wp:posOffset>5732678</wp:posOffset>
          </wp:positionH>
          <wp:positionV relativeFrom="page">
            <wp:posOffset>522674</wp:posOffset>
          </wp:positionV>
          <wp:extent cx="1092327" cy="492098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2327" cy="4920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D275B"/>
    <w:multiLevelType w:val="multilevel"/>
    <w:tmpl w:val="0C6E4E84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A3B2DAE"/>
    <w:multiLevelType w:val="multilevel"/>
    <w:tmpl w:val="2FECD24E"/>
    <w:lvl w:ilvl="0">
      <w:start w:val="1"/>
      <w:numFmt w:val="decimal"/>
      <w:lvlText w:val="%1."/>
      <w:lvlJc w:val="left"/>
      <w:pPr>
        <w:ind w:left="820" w:hanging="360"/>
      </w:pPr>
      <w:rPr>
        <w:rFonts w:ascii="Arial" w:eastAsia="Arial" w:hAnsi="Arial" w:cs="Arial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820" w:hanging="360"/>
      </w:pPr>
      <w:rPr>
        <w:rFonts w:ascii="Arial" w:eastAsia="Arial" w:hAnsi="Arial" w:cs="Arial"/>
        <w:b w:val="0"/>
        <w:i w:val="0"/>
        <w:sz w:val="22"/>
        <w:szCs w:val="22"/>
      </w:rPr>
    </w:lvl>
    <w:lvl w:ilvl="2">
      <w:start w:val="1"/>
      <w:numFmt w:val="upperLetter"/>
      <w:lvlText w:val="%3."/>
      <w:lvlJc w:val="left"/>
      <w:pPr>
        <w:ind w:left="2070" w:hanging="360"/>
      </w:pPr>
      <w:rPr>
        <w:rFonts w:ascii="Arial" w:eastAsia="Arial" w:hAnsi="Arial" w:cs="Arial"/>
        <w:b/>
        <w:i w:val="0"/>
        <w:sz w:val="22"/>
        <w:szCs w:val="22"/>
      </w:rPr>
    </w:lvl>
    <w:lvl w:ilvl="3">
      <w:numFmt w:val="bullet"/>
      <w:lvlText w:val="•"/>
      <w:lvlJc w:val="left"/>
      <w:pPr>
        <w:ind w:left="3442" w:hanging="360"/>
      </w:pPr>
    </w:lvl>
    <w:lvl w:ilvl="4">
      <w:numFmt w:val="bullet"/>
      <w:lvlText w:val="•"/>
      <w:lvlJc w:val="left"/>
      <w:pPr>
        <w:ind w:left="4316" w:hanging="360"/>
      </w:pPr>
    </w:lvl>
    <w:lvl w:ilvl="5">
      <w:numFmt w:val="bullet"/>
      <w:lvlText w:val="•"/>
      <w:lvlJc w:val="left"/>
      <w:pPr>
        <w:ind w:left="5190" w:hanging="360"/>
      </w:pPr>
    </w:lvl>
    <w:lvl w:ilvl="6">
      <w:numFmt w:val="bullet"/>
      <w:lvlText w:val="•"/>
      <w:lvlJc w:val="left"/>
      <w:pPr>
        <w:ind w:left="6064" w:hanging="360"/>
      </w:pPr>
    </w:lvl>
    <w:lvl w:ilvl="7">
      <w:numFmt w:val="bullet"/>
      <w:lvlText w:val="•"/>
      <w:lvlJc w:val="left"/>
      <w:pPr>
        <w:ind w:left="6938" w:hanging="360"/>
      </w:pPr>
    </w:lvl>
    <w:lvl w:ilvl="8">
      <w:numFmt w:val="bullet"/>
      <w:lvlText w:val="•"/>
      <w:lvlJc w:val="left"/>
      <w:pPr>
        <w:ind w:left="7812" w:hanging="360"/>
      </w:pPr>
    </w:lvl>
  </w:abstractNum>
  <w:abstractNum w:abstractNumId="2" w15:restartNumberingAfterBreak="0">
    <w:nsid w:val="0C3B7839"/>
    <w:multiLevelType w:val="multilevel"/>
    <w:tmpl w:val="04186B84"/>
    <w:lvl w:ilvl="0">
      <w:start w:val="1"/>
      <w:numFmt w:val="bullet"/>
      <w:lvlText w:val="•"/>
      <w:lvlJc w:val="left"/>
      <w:pPr>
        <w:ind w:left="820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>
      <w:numFmt w:val="bullet"/>
      <w:lvlText w:val="○"/>
      <w:lvlJc w:val="left"/>
      <w:pPr>
        <w:ind w:left="1540" w:hanging="360"/>
      </w:pPr>
      <w:rPr>
        <w:rFonts w:ascii="Arial" w:eastAsia="Arial" w:hAnsi="Arial" w:cs="Arial"/>
        <w:b w:val="0"/>
        <w:i w:val="0"/>
        <w:sz w:val="22"/>
        <w:szCs w:val="22"/>
      </w:rPr>
    </w:lvl>
    <w:lvl w:ilvl="2">
      <w:numFmt w:val="bullet"/>
      <w:lvlText w:val="•"/>
      <w:lvlJc w:val="left"/>
      <w:pPr>
        <w:ind w:left="2431" w:hanging="360"/>
      </w:pPr>
    </w:lvl>
    <w:lvl w:ilvl="3">
      <w:numFmt w:val="bullet"/>
      <w:lvlText w:val="•"/>
      <w:lvlJc w:val="left"/>
      <w:pPr>
        <w:ind w:left="3322" w:hanging="360"/>
      </w:pPr>
    </w:lvl>
    <w:lvl w:ilvl="4">
      <w:numFmt w:val="bullet"/>
      <w:lvlText w:val="•"/>
      <w:lvlJc w:val="left"/>
      <w:pPr>
        <w:ind w:left="4213" w:hanging="360"/>
      </w:pPr>
    </w:lvl>
    <w:lvl w:ilvl="5">
      <w:numFmt w:val="bullet"/>
      <w:lvlText w:val="•"/>
      <w:lvlJc w:val="left"/>
      <w:pPr>
        <w:ind w:left="5104" w:hanging="360"/>
      </w:pPr>
    </w:lvl>
    <w:lvl w:ilvl="6">
      <w:numFmt w:val="bullet"/>
      <w:lvlText w:val="•"/>
      <w:lvlJc w:val="left"/>
      <w:pPr>
        <w:ind w:left="5995" w:hanging="360"/>
      </w:pPr>
    </w:lvl>
    <w:lvl w:ilvl="7">
      <w:numFmt w:val="bullet"/>
      <w:lvlText w:val="•"/>
      <w:lvlJc w:val="left"/>
      <w:pPr>
        <w:ind w:left="6886" w:hanging="360"/>
      </w:pPr>
    </w:lvl>
    <w:lvl w:ilvl="8">
      <w:numFmt w:val="bullet"/>
      <w:lvlText w:val="•"/>
      <w:lvlJc w:val="left"/>
      <w:pPr>
        <w:ind w:left="7777" w:hanging="360"/>
      </w:pPr>
    </w:lvl>
  </w:abstractNum>
  <w:abstractNum w:abstractNumId="3" w15:restartNumberingAfterBreak="0">
    <w:nsid w:val="0DEF3C56"/>
    <w:multiLevelType w:val="multilevel"/>
    <w:tmpl w:val="BD5CF4AC"/>
    <w:lvl w:ilvl="0">
      <w:numFmt w:val="bullet"/>
      <w:lvlText w:val="●"/>
      <w:lvlJc w:val="left"/>
      <w:pPr>
        <w:ind w:left="820" w:hanging="360"/>
      </w:pPr>
      <w:rPr>
        <w:rFonts w:ascii="Arial" w:eastAsia="Arial" w:hAnsi="Arial" w:cs="Arial"/>
        <w:b w:val="0"/>
        <w:i w:val="0"/>
        <w:sz w:val="22"/>
        <w:szCs w:val="22"/>
      </w:rPr>
    </w:lvl>
    <w:lvl w:ilvl="1">
      <w:start w:val="1"/>
      <w:numFmt w:val="bullet"/>
      <w:lvlText w:val="◦"/>
      <w:lvlJc w:val="left"/>
      <w:pPr>
        <w:ind w:left="1540" w:hanging="360"/>
      </w:pPr>
      <w:rPr>
        <w:rFonts w:ascii="Times New Roman" w:eastAsia="Times New Roman" w:hAnsi="Times New Roman" w:cs="Times New Roman"/>
      </w:rPr>
    </w:lvl>
    <w:lvl w:ilvl="2">
      <w:numFmt w:val="bullet"/>
      <w:lvlText w:val="•"/>
      <w:lvlJc w:val="left"/>
      <w:pPr>
        <w:ind w:left="2431" w:hanging="360"/>
      </w:pPr>
    </w:lvl>
    <w:lvl w:ilvl="3">
      <w:numFmt w:val="bullet"/>
      <w:lvlText w:val="•"/>
      <w:lvlJc w:val="left"/>
      <w:pPr>
        <w:ind w:left="3322" w:hanging="360"/>
      </w:pPr>
    </w:lvl>
    <w:lvl w:ilvl="4">
      <w:numFmt w:val="bullet"/>
      <w:lvlText w:val="•"/>
      <w:lvlJc w:val="left"/>
      <w:pPr>
        <w:ind w:left="4213" w:hanging="360"/>
      </w:pPr>
    </w:lvl>
    <w:lvl w:ilvl="5">
      <w:numFmt w:val="bullet"/>
      <w:lvlText w:val="•"/>
      <w:lvlJc w:val="left"/>
      <w:pPr>
        <w:ind w:left="5104" w:hanging="360"/>
      </w:pPr>
    </w:lvl>
    <w:lvl w:ilvl="6">
      <w:numFmt w:val="bullet"/>
      <w:lvlText w:val="•"/>
      <w:lvlJc w:val="left"/>
      <w:pPr>
        <w:ind w:left="5995" w:hanging="360"/>
      </w:pPr>
    </w:lvl>
    <w:lvl w:ilvl="7">
      <w:numFmt w:val="bullet"/>
      <w:lvlText w:val="•"/>
      <w:lvlJc w:val="left"/>
      <w:pPr>
        <w:ind w:left="6886" w:hanging="360"/>
      </w:pPr>
    </w:lvl>
    <w:lvl w:ilvl="8">
      <w:numFmt w:val="bullet"/>
      <w:lvlText w:val="•"/>
      <w:lvlJc w:val="left"/>
      <w:pPr>
        <w:ind w:left="7777" w:hanging="360"/>
      </w:pPr>
    </w:lvl>
  </w:abstractNum>
  <w:abstractNum w:abstractNumId="4" w15:restartNumberingAfterBreak="0">
    <w:nsid w:val="10BE0337"/>
    <w:multiLevelType w:val="multilevel"/>
    <w:tmpl w:val="079ADBD8"/>
    <w:lvl w:ilvl="0">
      <w:start w:val="1"/>
      <w:numFmt w:val="bullet"/>
      <w:lvlText w:val="•"/>
      <w:lvlJc w:val="left"/>
      <w:pPr>
        <w:ind w:left="820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>
      <w:numFmt w:val="bullet"/>
      <w:lvlText w:val="○"/>
      <w:lvlJc w:val="left"/>
      <w:pPr>
        <w:ind w:left="1540" w:hanging="360"/>
      </w:pPr>
      <w:rPr>
        <w:rFonts w:ascii="Arial" w:eastAsia="Arial" w:hAnsi="Arial" w:cs="Arial"/>
        <w:b w:val="0"/>
        <w:i w:val="0"/>
        <w:sz w:val="22"/>
        <w:szCs w:val="22"/>
      </w:rPr>
    </w:lvl>
    <w:lvl w:ilvl="2">
      <w:numFmt w:val="bullet"/>
      <w:lvlText w:val="•"/>
      <w:lvlJc w:val="left"/>
      <w:pPr>
        <w:ind w:left="2431" w:hanging="360"/>
      </w:pPr>
    </w:lvl>
    <w:lvl w:ilvl="3">
      <w:numFmt w:val="bullet"/>
      <w:lvlText w:val="•"/>
      <w:lvlJc w:val="left"/>
      <w:pPr>
        <w:ind w:left="3322" w:hanging="360"/>
      </w:pPr>
    </w:lvl>
    <w:lvl w:ilvl="4">
      <w:numFmt w:val="bullet"/>
      <w:lvlText w:val="•"/>
      <w:lvlJc w:val="left"/>
      <w:pPr>
        <w:ind w:left="4213" w:hanging="360"/>
      </w:pPr>
    </w:lvl>
    <w:lvl w:ilvl="5">
      <w:numFmt w:val="bullet"/>
      <w:lvlText w:val="•"/>
      <w:lvlJc w:val="left"/>
      <w:pPr>
        <w:ind w:left="5104" w:hanging="360"/>
      </w:pPr>
    </w:lvl>
    <w:lvl w:ilvl="6">
      <w:numFmt w:val="bullet"/>
      <w:lvlText w:val="•"/>
      <w:lvlJc w:val="left"/>
      <w:pPr>
        <w:ind w:left="5995" w:hanging="360"/>
      </w:pPr>
    </w:lvl>
    <w:lvl w:ilvl="7">
      <w:numFmt w:val="bullet"/>
      <w:lvlText w:val="•"/>
      <w:lvlJc w:val="left"/>
      <w:pPr>
        <w:ind w:left="6886" w:hanging="360"/>
      </w:pPr>
    </w:lvl>
    <w:lvl w:ilvl="8">
      <w:numFmt w:val="bullet"/>
      <w:lvlText w:val="•"/>
      <w:lvlJc w:val="left"/>
      <w:pPr>
        <w:ind w:left="7777" w:hanging="360"/>
      </w:pPr>
    </w:lvl>
  </w:abstractNum>
  <w:abstractNum w:abstractNumId="5" w15:restartNumberingAfterBreak="0">
    <w:nsid w:val="19BE4D7F"/>
    <w:multiLevelType w:val="multilevel"/>
    <w:tmpl w:val="A13869D6"/>
    <w:lvl w:ilvl="0">
      <w:start w:val="1"/>
      <w:numFmt w:val="bullet"/>
      <w:lvlText w:val="•"/>
      <w:lvlJc w:val="left"/>
      <w:pPr>
        <w:ind w:left="756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7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9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1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3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5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7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9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16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AA5616D"/>
    <w:multiLevelType w:val="multilevel"/>
    <w:tmpl w:val="D61C687A"/>
    <w:lvl w:ilvl="0">
      <w:start w:val="1"/>
      <w:numFmt w:val="bullet"/>
      <w:lvlText w:val="•"/>
      <w:lvlJc w:val="left"/>
      <w:pPr>
        <w:ind w:left="820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>
      <w:numFmt w:val="bullet"/>
      <w:lvlText w:val="○"/>
      <w:lvlJc w:val="left"/>
      <w:pPr>
        <w:ind w:left="1540" w:hanging="360"/>
      </w:pPr>
      <w:rPr>
        <w:rFonts w:ascii="Arial" w:eastAsia="Arial" w:hAnsi="Arial" w:cs="Arial"/>
        <w:b w:val="0"/>
        <w:i w:val="0"/>
        <w:sz w:val="22"/>
        <w:szCs w:val="22"/>
      </w:rPr>
    </w:lvl>
    <w:lvl w:ilvl="2">
      <w:numFmt w:val="bullet"/>
      <w:lvlText w:val="•"/>
      <w:lvlJc w:val="left"/>
      <w:pPr>
        <w:ind w:left="2431" w:hanging="360"/>
      </w:pPr>
    </w:lvl>
    <w:lvl w:ilvl="3">
      <w:numFmt w:val="bullet"/>
      <w:lvlText w:val="•"/>
      <w:lvlJc w:val="left"/>
      <w:pPr>
        <w:ind w:left="3322" w:hanging="360"/>
      </w:pPr>
    </w:lvl>
    <w:lvl w:ilvl="4">
      <w:numFmt w:val="bullet"/>
      <w:lvlText w:val="•"/>
      <w:lvlJc w:val="left"/>
      <w:pPr>
        <w:ind w:left="4213" w:hanging="360"/>
      </w:pPr>
    </w:lvl>
    <w:lvl w:ilvl="5">
      <w:numFmt w:val="bullet"/>
      <w:lvlText w:val="•"/>
      <w:lvlJc w:val="left"/>
      <w:pPr>
        <w:ind w:left="5104" w:hanging="360"/>
      </w:pPr>
    </w:lvl>
    <w:lvl w:ilvl="6">
      <w:numFmt w:val="bullet"/>
      <w:lvlText w:val="•"/>
      <w:lvlJc w:val="left"/>
      <w:pPr>
        <w:ind w:left="5995" w:hanging="360"/>
      </w:pPr>
    </w:lvl>
    <w:lvl w:ilvl="7">
      <w:numFmt w:val="bullet"/>
      <w:lvlText w:val="•"/>
      <w:lvlJc w:val="left"/>
      <w:pPr>
        <w:ind w:left="6886" w:hanging="360"/>
      </w:pPr>
    </w:lvl>
    <w:lvl w:ilvl="8">
      <w:numFmt w:val="bullet"/>
      <w:lvlText w:val="•"/>
      <w:lvlJc w:val="left"/>
      <w:pPr>
        <w:ind w:left="7777" w:hanging="360"/>
      </w:pPr>
    </w:lvl>
  </w:abstractNum>
  <w:abstractNum w:abstractNumId="7" w15:restartNumberingAfterBreak="0">
    <w:nsid w:val="51F266EB"/>
    <w:multiLevelType w:val="multilevel"/>
    <w:tmpl w:val="053AE4CE"/>
    <w:lvl w:ilvl="0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7B27D3B"/>
    <w:multiLevelType w:val="multilevel"/>
    <w:tmpl w:val="4A728C90"/>
    <w:lvl w:ilvl="0">
      <w:numFmt w:val="bullet"/>
      <w:lvlText w:val="●"/>
      <w:lvlJc w:val="left"/>
      <w:pPr>
        <w:ind w:left="820" w:hanging="360"/>
      </w:pPr>
      <w:rPr>
        <w:rFonts w:ascii="Arial" w:eastAsia="Arial" w:hAnsi="Arial" w:cs="Arial"/>
        <w:b w:val="0"/>
        <w:i w:val="0"/>
        <w:sz w:val="22"/>
        <w:szCs w:val="22"/>
      </w:rPr>
    </w:lvl>
    <w:lvl w:ilvl="1">
      <w:start w:val="1"/>
      <w:numFmt w:val="bullet"/>
      <w:lvlText w:val="◦"/>
      <w:lvlJc w:val="left"/>
      <w:pPr>
        <w:ind w:left="1540" w:hanging="360"/>
      </w:pPr>
      <w:rPr>
        <w:rFonts w:ascii="Times New Roman" w:eastAsia="Times New Roman" w:hAnsi="Times New Roman" w:cs="Times New Roman"/>
      </w:rPr>
    </w:lvl>
    <w:lvl w:ilvl="2">
      <w:numFmt w:val="bullet"/>
      <w:lvlText w:val="•"/>
      <w:lvlJc w:val="left"/>
      <w:pPr>
        <w:ind w:left="2431" w:hanging="360"/>
      </w:pPr>
    </w:lvl>
    <w:lvl w:ilvl="3">
      <w:numFmt w:val="bullet"/>
      <w:lvlText w:val="•"/>
      <w:lvlJc w:val="left"/>
      <w:pPr>
        <w:ind w:left="3322" w:hanging="360"/>
      </w:pPr>
    </w:lvl>
    <w:lvl w:ilvl="4">
      <w:numFmt w:val="bullet"/>
      <w:lvlText w:val="•"/>
      <w:lvlJc w:val="left"/>
      <w:pPr>
        <w:ind w:left="4213" w:hanging="360"/>
      </w:pPr>
    </w:lvl>
    <w:lvl w:ilvl="5">
      <w:numFmt w:val="bullet"/>
      <w:lvlText w:val="•"/>
      <w:lvlJc w:val="left"/>
      <w:pPr>
        <w:ind w:left="5104" w:hanging="360"/>
      </w:pPr>
    </w:lvl>
    <w:lvl w:ilvl="6">
      <w:numFmt w:val="bullet"/>
      <w:lvlText w:val="•"/>
      <w:lvlJc w:val="left"/>
      <w:pPr>
        <w:ind w:left="5995" w:hanging="360"/>
      </w:pPr>
    </w:lvl>
    <w:lvl w:ilvl="7">
      <w:numFmt w:val="bullet"/>
      <w:lvlText w:val="•"/>
      <w:lvlJc w:val="left"/>
      <w:pPr>
        <w:ind w:left="6886" w:hanging="360"/>
      </w:pPr>
    </w:lvl>
    <w:lvl w:ilvl="8">
      <w:numFmt w:val="bullet"/>
      <w:lvlText w:val="•"/>
      <w:lvlJc w:val="left"/>
      <w:pPr>
        <w:ind w:left="7777" w:hanging="360"/>
      </w:pPr>
    </w:lvl>
  </w:abstractNum>
  <w:abstractNum w:abstractNumId="9" w15:restartNumberingAfterBreak="0">
    <w:nsid w:val="57BD2B84"/>
    <w:multiLevelType w:val="multilevel"/>
    <w:tmpl w:val="34E48E62"/>
    <w:lvl w:ilvl="0">
      <w:start w:val="1"/>
      <w:numFmt w:val="bullet"/>
      <w:lvlText w:val="•"/>
      <w:lvlJc w:val="left"/>
      <w:pPr>
        <w:ind w:left="820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>
      <w:numFmt w:val="bullet"/>
      <w:lvlText w:val="○"/>
      <w:lvlJc w:val="left"/>
      <w:pPr>
        <w:ind w:left="1540" w:hanging="360"/>
      </w:pPr>
      <w:rPr>
        <w:rFonts w:ascii="Arial" w:eastAsia="Arial" w:hAnsi="Arial" w:cs="Arial"/>
        <w:b w:val="0"/>
        <w:i w:val="0"/>
        <w:sz w:val="22"/>
        <w:szCs w:val="22"/>
      </w:rPr>
    </w:lvl>
    <w:lvl w:ilvl="2">
      <w:numFmt w:val="bullet"/>
      <w:lvlText w:val="•"/>
      <w:lvlJc w:val="left"/>
      <w:pPr>
        <w:ind w:left="2431" w:hanging="360"/>
      </w:pPr>
    </w:lvl>
    <w:lvl w:ilvl="3">
      <w:numFmt w:val="bullet"/>
      <w:lvlText w:val="•"/>
      <w:lvlJc w:val="left"/>
      <w:pPr>
        <w:ind w:left="3322" w:hanging="360"/>
      </w:pPr>
    </w:lvl>
    <w:lvl w:ilvl="4">
      <w:numFmt w:val="bullet"/>
      <w:lvlText w:val="•"/>
      <w:lvlJc w:val="left"/>
      <w:pPr>
        <w:ind w:left="4213" w:hanging="360"/>
      </w:pPr>
    </w:lvl>
    <w:lvl w:ilvl="5">
      <w:numFmt w:val="bullet"/>
      <w:lvlText w:val="•"/>
      <w:lvlJc w:val="left"/>
      <w:pPr>
        <w:ind w:left="5104" w:hanging="360"/>
      </w:pPr>
    </w:lvl>
    <w:lvl w:ilvl="6">
      <w:numFmt w:val="bullet"/>
      <w:lvlText w:val="•"/>
      <w:lvlJc w:val="left"/>
      <w:pPr>
        <w:ind w:left="5995" w:hanging="360"/>
      </w:pPr>
    </w:lvl>
    <w:lvl w:ilvl="7">
      <w:numFmt w:val="bullet"/>
      <w:lvlText w:val="•"/>
      <w:lvlJc w:val="left"/>
      <w:pPr>
        <w:ind w:left="6886" w:hanging="360"/>
      </w:pPr>
    </w:lvl>
    <w:lvl w:ilvl="8">
      <w:numFmt w:val="bullet"/>
      <w:lvlText w:val="•"/>
      <w:lvlJc w:val="left"/>
      <w:pPr>
        <w:ind w:left="7777" w:hanging="360"/>
      </w:pPr>
    </w:lvl>
  </w:abstractNum>
  <w:abstractNum w:abstractNumId="10" w15:restartNumberingAfterBreak="0">
    <w:nsid w:val="6F0D1DD0"/>
    <w:multiLevelType w:val="multilevel"/>
    <w:tmpl w:val="CBC49DD2"/>
    <w:lvl w:ilvl="0">
      <w:numFmt w:val="bullet"/>
      <w:lvlText w:val="●"/>
      <w:lvlJc w:val="left"/>
      <w:pPr>
        <w:ind w:left="820" w:hanging="360"/>
      </w:pPr>
      <w:rPr>
        <w:rFonts w:ascii="Arial" w:eastAsia="Arial" w:hAnsi="Arial" w:cs="Arial"/>
        <w:b w:val="0"/>
        <w:i w:val="0"/>
        <w:sz w:val="22"/>
        <w:szCs w:val="22"/>
      </w:rPr>
    </w:lvl>
    <w:lvl w:ilvl="1">
      <w:start w:val="1"/>
      <w:numFmt w:val="bullet"/>
      <w:lvlText w:val="◦"/>
      <w:lvlJc w:val="left"/>
      <w:pPr>
        <w:ind w:left="1540" w:hanging="360"/>
      </w:pPr>
      <w:rPr>
        <w:rFonts w:ascii="Times New Roman" w:eastAsia="Times New Roman" w:hAnsi="Times New Roman" w:cs="Times New Roman"/>
      </w:rPr>
    </w:lvl>
    <w:lvl w:ilvl="2">
      <w:numFmt w:val="bullet"/>
      <w:lvlText w:val="•"/>
      <w:lvlJc w:val="left"/>
      <w:pPr>
        <w:ind w:left="2431" w:hanging="360"/>
      </w:pPr>
    </w:lvl>
    <w:lvl w:ilvl="3">
      <w:numFmt w:val="bullet"/>
      <w:lvlText w:val="•"/>
      <w:lvlJc w:val="left"/>
      <w:pPr>
        <w:ind w:left="3322" w:hanging="360"/>
      </w:pPr>
    </w:lvl>
    <w:lvl w:ilvl="4">
      <w:numFmt w:val="bullet"/>
      <w:lvlText w:val="•"/>
      <w:lvlJc w:val="left"/>
      <w:pPr>
        <w:ind w:left="4213" w:hanging="360"/>
      </w:pPr>
    </w:lvl>
    <w:lvl w:ilvl="5">
      <w:numFmt w:val="bullet"/>
      <w:lvlText w:val="•"/>
      <w:lvlJc w:val="left"/>
      <w:pPr>
        <w:ind w:left="5104" w:hanging="360"/>
      </w:pPr>
    </w:lvl>
    <w:lvl w:ilvl="6">
      <w:numFmt w:val="bullet"/>
      <w:lvlText w:val="•"/>
      <w:lvlJc w:val="left"/>
      <w:pPr>
        <w:ind w:left="5995" w:hanging="360"/>
      </w:pPr>
    </w:lvl>
    <w:lvl w:ilvl="7">
      <w:numFmt w:val="bullet"/>
      <w:lvlText w:val="•"/>
      <w:lvlJc w:val="left"/>
      <w:pPr>
        <w:ind w:left="6886" w:hanging="360"/>
      </w:pPr>
    </w:lvl>
    <w:lvl w:ilvl="8">
      <w:numFmt w:val="bullet"/>
      <w:lvlText w:val="•"/>
      <w:lvlJc w:val="left"/>
      <w:pPr>
        <w:ind w:left="7777" w:hanging="360"/>
      </w:pPr>
    </w:lvl>
  </w:abstractNum>
  <w:abstractNum w:abstractNumId="11" w15:restartNumberingAfterBreak="0">
    <w:nsid w:val="76125C8B"/>
    <w:multiLevelType w:val="multilevel"/>
    <w:tmpl w:val="093ED648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10"/>
  </w:num>
  <w:num w:numId="5">
    <w:abstractNumId w:val="3"/>
  </w:num>
  <w:num w:numId="6">
    <w:abstractNumId w:val="4"/>
  </w:num>
  <w:num w:numId="7">
    <w:abstractNumId w:val="8"/>
  </w:num>
  <w:num w:numId="8">
    <w:abstractNumId w:val="2"/>
  </w:num>
  <w:num w:numId="9">
    <w:abstractNumId w:val="1"/>
  </w:num>
  <w:num w:numId="10">
    <w:abstractNumId w:val="7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01F"/>
    <w:rsid w:val="004F201F"/>
    <w:rsid w:val="00A369B6"/>
    <w:rsid w:val="00D7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8C90D2"/>
  <w15:docId w15:val="{3DB55751-6F82-F349-A3B0-9BC96D41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820" w:hanging="360"/>
      <w:outlineLvl w:val="0"/>
    </w:pPr>
    <w:rPr>
      <w:b/>
      <w:bCs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pPr>
      <w:ind w:left="820" w:hanging="360"/>
    </w:p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B28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28A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B28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28AD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0B28A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28A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20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">
    <w:name w:val="Level 1"/>
    <w:basedOn w:val="Normal"/>
    <w:rsid w:val="001C46E7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A4037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ymol.org/2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4SBChnEvKlY&amp;t=8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MlLxWRAW0/JLTyLgTlZJKELg9A==">CgMxLjA4AHIhMXlDaHd0aFZCLXY4dXFhUGZBczl5RGpkeWs3ME5RSWFr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Cornely, Kathleen</dc:creator>
  <cp:lastModifiedBy>Shuchismita Dutta</cp:lastModifiedBy>
  <cp:revision>2</cp:revision>
  <dcterms:created xsi:type="dcterms:W3CDTF">2023-06-13T13:09:00Z</dcterms:created>
  <dcterms:modified xsi:type="dcterms:W3CDTF">2024-12-16T21:53:00Z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m110 Google Docs Renderer</vt:lpwstr>
  </property>
</Properties>
</file>