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6B2B0" w14:textId="0CE14C5D" w:rsidR="00F7658E" w:rsidRPr="00ED4765" w:rsidRDefault="00F7658E">
      <w:pPr>
        <w:widowControl w:val="0"/>
        <w:rPr>
          <w:rFonts w:ascii="Arial" w:hAnsi="Arial"/>
          <w:b/>
          <w:sz w:val="32"/>
          <w:szCs w:val="32"/>
        </w:rPr>
      </w:pPr>
      <w:r w:rsidRPr="00ED4765">
        <w:rPr>
          <w:rFonts w:ascii="Arial" w:hAnsi="Arial"/>
          <w:b/>
          <w:sz w:val="32"/>
          <w:szCs w:val="32"/>
        </w:rPr>
        <w:t xml:space="preserve">Gaucher disease: An Inherited Metabolic Disorder Caused by a Mutation in Acid </w:t>
      </w:r>
      <w:r w:rsidRPr="00ED4765">
        <w:rPr>
          <w:rFonts w:ascii="Symbol" w:hAnsi="Symbol"/>
          <w:b/>
          <w:sz w:val="32"/>
          <w:szCs w:val="32"/>
        </w:rPr>
        <w:t>b</w:t>
      </w:r>
      <w:r w:rsidRPr="00ED4765">
        <w:rPr>
          <w:rFonts w:ascii="Arial" w:hAnsi="Arial"/>
          <w:b/>
          <w:sz w:val="32"/>
          <w:szCs w:val="32"/>
        </w:rPr>
        <w:t>-Glucosidase</w:t>
      </w:r>
    </w:p>
    <w:p w14:paraId="5F15D731" w14:textId="06C2E4B4" w:rsidR="0010565C" w:rsidRDefault="003973FC">
      <w:pPr>
        <w:widowControl w:val="0"/>
        <w:rPr>
          <w:rFonts w:ascii="Arial" w:hAnsi="Arial"/>
          <w:sz w:val="36"/>
        </w:rPr>
      </w:pPr>
      <w:r>
        <w:rPr>
          <w:rFonts w:ascii="Arial" w:hAnsi="Arial"/>
          <w:noProof/>
          <w:sz w:val="36"/>
        </w:rPr>
        <mc:AlternateContent>
          <mc:Choice Requires="wps">
            <w:drawing>
              <wp:anchor distT="0" distB="0" distL="114300" distR="114300" simplePos="0" relativeHeight="251662336" behindDoc="0" locked="0" layoutInCell="1" allowOverlap="1" wp14:anchorId="480584FA" wp14:editId="7FEEC9DB">
                <wp:simplePos x="0" y="0"/>
                <wp:positionH relativeFrom="column">
                  <wp:posOffset>-3175</wp:posOffset>
                </wp:positionH>
                <wp:positionV relativeFrom="paragraph">
                  <wp:posOffset>143510</wp:posOffset>
                </wp:positionV>
                <wp:extent cx="6198870" cy="4445"/>
                <wp:effectExtent l="0" t="0" r="0" b="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8870" cy="44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4BB83944" id="_x0000_t32" coordsize="21600,21600" o:spt="32" o:oned="t" path="m,l21600,21600e" filled="f">
                <v:path arrowok="t" fillok="f" o:connecttype="none"/>
                <o:lock v:ext="edit" shapetype="t"/>
              </v:shapetype>
              <v:shape id="AutoShape 10" o:spid="_x0000_s1026" type="#_x0000_t32" style="position:absolute;margin-left:-.25pt;margin-top:11.3pt;width:488.1pt;height:.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7F5AEAALwDAAAOAAAAZHJzL2Uyb0RvYy54bWysU8Fu2zAMvQ/YPwi6L46DpEuNOMWQrrt0&#10;W4B2H8BIsi1MEgVJiZO/H6Wl6bpdimI+CKb4+Eg+UqubozXsoELU6FpeT6acKSdQate3/Mfj3Ycl&#10;ZzGBk2DQqZafVOQ36/fvVqNv1AwHNFIFRiQuNqNv+ZCSb6oqikFZiBP0ypGzw2AhkRn6SgYYid2a&#10;ajadXlUjBukDChUj3d7+dvJ14e86JdL3rosqMdNyqi2VM5Rzl89qvYKmD+AHLc5lwBuqsKAdJb1Q&#10;3UICtg/6HyqrRcCIXZoItBV2nRaq9EDd1NO/unkYwKvSC4kT/UWm+P9oxbfDNjAtaXacObA0ok/7&#10;hCUzq4s+o48NwTZuG3KH4uge/D2Kn5E53AzgelXQjydPwXVWtHoRko3oKctu/IqSMEAJiljHLthM&#10;STKwY5nJ6TITdUxM0OVVfb1cfqTRCfLN5/NFSQDNU6wPMX1RaFn+aXlMAXQ/pA06R8PHUJdMcLiP&#10;KVcGzVNATuzwThtTdsA4Nrb8ejFblICIRsvszLAY+t3GBHaAvEXlO1fxAhZw72QhGxTIz06yVDRx&#10;tPk8s1slOTOKHkr+K8gE2rwGSYUbd1Y2i5kXPDY7lKdtyH1li1akdHhe57yDf9oF9fzo1r8AAAD/&#10;/wMAUEsDBBQABgAIAAAAIQD6Z+/b3AAAAAcBAAAPAAAAZHJzL2Rvd25yZXYueG1sTI7NbsIwEITv&#10;lfoO1iL1UoFDUKCEOAhV6qHHAlKvJt4mgXgdxQ5JefouJ3qcH8182Xa0jbhi52tHCuazCARS4UxN&#10;pYLj4WP6BsIHTUY3jlDBL3rY5s9PmU6NG+gLr/tQCh4hn2oFVQhtKqUvKrTaz1yLxNmP66wOLLtS&#10;mk4PPG4bGUfRUlpdEz9UusX3CovLvrcK0PfJPNqtbXn8vA2v3/HtPLQHpV4m424DIuAYHmW44zM6&#10;5Mx0cj0ZLxoF04SLCuJ4CYLj9SpZgTixsViAzDP5nz//AwAA//8DAFBLAQItABQABgAIAAAAIQC2&#10;gziS/gAAAOEBAAATAAAAAAAAAAAAAAAAAAAAAABbQ29udGVudF9UeXBlc10ueG1sUEsBAi0AFAAG&#10;AAgAAAAhADj9If/WAAAAlAEAAAsAAAAAAAAAAAAAAAAALwEAAF9yZWxzLy5yZWxzUEsBAi0AFAAG&#10;AAgAAAAhAE1SHsXkAQAAvAMAAA4AAAAAAAAAAAAAAAAALgIAAGRycy9lMm9Eb2MueG1sUEsBAi0A&#10;FAAGAAgAAAAhAPpn79vcAAAABwEAAA8AAAAAAAAAAAAAAAAAPgQAAGRycy9kb3ducmV2LnhtbFBL&#10;BQYAAAAABAAEAPMAAABHBQAAAAA=&#10;"/>
            </w:pict>
          </mc:Fallback>
        </mc:AlternateContent>
      </w:r>
    </w:p>
    <w:p w14:paraId="018068B6" w14:textId="77777777" w:rsidR="006E680D" w:rsidRDefault="006E680D" w:rsidP="006E680D">
      <w:pPr>
        <w:widowControl w:val="0"/>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spacing w:line="264" w:lineRule="auto"/>
        <w:rPr>
          <w:i/>
          <w:sz w:val="20"/>
        </w:rPr>
      </w:pPr>
      <w:r>
        <w:rPr>
          <w:i/>
          <w:sz w:val="20"/>
        </w:rPr>
        <w:t>Kathleen Cornely, Department of Chemistry and Biochemistry, Providence College</w:t>
      </w:r>
    </w:p>
    <w:p w14:paraId="363DCB09" w14:textId="77777777" w:rsidR="006E680D" w:rsidRDefault="006E680D" w:rsidP="006E680D">
      <w:pPr>
        <w:widowControl w:val="0"/>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spacing w:line="264" w:lineRule="auto"/>
        <w:rPr>
          <w:i/>
          <w:sz w:val="20"/>
        </w:rPr>
      </w:pPr>
      <w:r>
        <w:rPr>
          <w:i/>
          <w:sz w:val="20"/>
        </w:rPr>
        <w:t>Roderico Acevedo, Chemical and Physical Sciences, Westfield State University</w:t>
      </w:r>
    </w:p>
    <w:p w14:paraId="7BA2E598" w14:textId="77777777" w:rsidR="006E680D" w:rsidRDefault="006E680D" w:rsidP="006E680D">
      <w:pPr>
        <w:widowControl w:val="0"/>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spacing w:line="264" w:lineRule="auto"/>
        <w:rPr>
          <w:i/>
          <w:sz w:val="20"/>
        </w:rPr>
      </w:pPr>
      <w:r>
        <w:rPr>
          <w:i/>
          <w:sz w:val="20"/>
        </w:rPr>
        <w:t>Kristen Procko, College of Natural Science, University of Texas at Austin</w:t>
      </w:r>
    </w:p>
    <w:p w14:paraId="334EEEE8" w14:textId="5FB76EFA" w:rsidR="006E680D" w:rsidRDefault="006E680D" w:rsidP="006E680D">
      <w:pPr>
        <w:widowControl w:val="0"/>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spacing w:line="264" w:lineRule="auto"/>
        <w:rPr>
          <w:sz w:val="32"/>
        </w:rPr>
      </w:pPr>
      <w:r>
        <w:rPr>
          <w:i/>
          <w:sz w:val="20"/>
        </w:rPr>
        <w:t xml:space="preserve">Last modified </w:t>
      </w:r>
      <w:r w:rsidR="0095017A">
        <w:rPr>
          <w:i/>
          <w:sz w:val="20"/>
        </w:rPr>
        <w:t>15 December</w:t>
      </w:r>
      <w:r w:rsidR="00F7658E">
        <w:rPr>
          <w:i/>
          <w:sz w:val="20"/>
        </w:rPr>
        <w:t xml:space="preserve"> 2024</w:t>
      </w:r>
    </w:p>
    <w:p w14:paraId="2B5B1891" w14:textId="77777777" w:rsidR="0010565C" w:rsidRDefault="00EA5020">
      <w:pPr>
        <w:widowControl w:val="0"/>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spacing w:line="264" w:lineRule="auto"/>
        <w:rPr>
          <w:sz w:val="20"/>
        </w:rPr>
      </w:pPr>
      <w:r>
        <w:rPr>
          <w:sz w:val="20"/>
        </w:rPr>
        <w:t xml:space="preserve"> </w:t>
      </w:r>
    </w:p>
    <w:p w14:paraId="18FE50BD" w14:textId="69959AA8" w:rsidR="00031799" w:rsidRPr="00ED4765" w:rsidRDefault="00EA5020">
      <w:pPr>
        <w:widowControl w:val="0"/>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spacing w:line="264" w:lineRule="auto"/>
        <w:rPr>
          <w:sz w:val="28"/>
          <w:szCs w:val="28"/>
        </w:rPr>
      </w:pPr>
      <w:r w:rsidRPr="00ED4765">
        <w:rPr>
          <w:sz w:val="28"/>
          <w:szCs w:val="28"/>
        </w:rPr>
        <w:t xml:space="preserve">Focus concept  </w:t>
      </w:r>
    </w:p>
    <w:p w14:paraId="6F6C2857" w14:textId="2DF18ADF" w:rsidR="00031799" w:rsidRDefault="00EA5020">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r>
        <w:tab/>
      </w:r>
      <w:bookmarkStart w:id="0" w:name="_Hlk167963747"/>
      <w:r w:rsidR="00EF79BC">
        <w:t xml:space="preserve">Mutations in the acid </w:t>
      </w:r>
      <w:r w:rsidR="00EF79BC" w:rsidRPr="00BF3CEC">
        <w:rPr>
          <w:rFonts w:ascii="Symbol" w:hAnsi="Symbol"/>
        </w:rPr>
        <w:t>b</w:t>
      </w:r>
      <w:r w:rsidR="00EF79BC">
        <w:t xml:space="preserve">-glucosidase enzyme, a hydrolase required for the degradation of glucosyl ceramides in the lysosomes, lead to a build-up of substrate </w:t>
      </w:r>
      <w:r w:rsidR="000D5057">
        <w:t xml:space="preserve">resulting in </w:t>
      </w:r>
      <w:r w:rsidR="00EF79BC">
        <w:t>the symptoms of Gaucher disease.</w:t>
      </w:r>
      <w:bookmarkEnd w:id="0"/>
    </w:p>
    <w:p w14:paraId="73DAA464" w14:textId="77777777" w:rsidR="000F3E8E" w:rsidRDefault="000F3E8E">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593345FF" w14:textId="0FA5A92A" w:rsidR="000F3E8E" w:rsidRPr="00ED4765" w:rsidRDefault="000F3E8E" w:rsidP="000F3E8E">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spacing w:line="264" w:lineRule="auto"/>
        <w:rPr>
          <w:sz w:val="28"/>
          <w:szCs w:val="28"/>
        </w:rPr>
      </w:pPr>
      <w:r w:rsidRPr="00ED4765">
        <w:rPr>
          <w:sz w:val="28"/>
          <w:szCs w:val="28"/>
        </w:rPr>
        <w:t>Abstract</w:t>
      </w:r>
    </w:p>
    <w:p w14:paraId="7A0F1528" w14:textId="37DBAD1E" w:rsidR="000F3E8E" w:rsidRDefault="006F1917" w:rsidP="000F3E8E">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r>
        <w:tab/>
      </w:r>
      <w:r w:rsidR="000F3E8E" w:rsidRPr="000F3E8E">
        <w:t xml:space="preserve">This case focuses on a woman in her 20s who was recently diagnosed as having Gaucher disease, a diagnosis that comes with much relief for her, as she finally has an explanation for the symptoms of the disease that have plagued her entire life. Gaucher disease is a genetic disease involving a mutation in the acid </w:t>
      </w:r>
      <w:r w:rsidR="000F3E8E" w:rsidRPr="000F3E8E">
        <w:rPr>
          <w:rFonts w:ascii="Symbol" w:hAnsi="Symbol"/>
        </w:rPr>
        <w:t>b</w:t>
      </w:r>
      <w:r w:rsidR="000F3E8E" w:rsidRPr="000F3E8E">
        <w:t xml:space="preserve">-glucosidase enzyme, a hydrolase required for the degradation of glucosyl ceramides in the lysosomes. The inability to degrade glucosyl ceramides leads to their build up in the spleen, liver, lungs, bones, and brain, which causes the symptoms observed in these patients—enlarged liver and spleen, liver malfunction, skeletal disorders, and neurological complications. A study of the acid </w:t>
      </w:r>
      <w:r w:rsidR="000F3E8E" w:rsidRPr="000F3E8E">
        <w:rPr>
          <w:rFonts w:ascii="Symbol" w:hAnsi="Symbol"/>
        </w:rPr>
        <w:t>b</w:t>
      </w:r>
      <w:r w:rsidR="000F3E8E" w:rsidRPr="000F3E8E">
        <w:t>-glucosidas</w:t>
      </w:r>
      <w:r w:rsidR="00D31B8F">
        <w:t>e enzyme, involving</w:t>
      </w:r>
      <w:r w:rsidR="000F3E8E" w:rsidRPr="000F3E8E">
        <w:t xml:space="preserve"> the construction of mutants, and of small molecule inhibitors, leads to a greater understanding of how the enzyme works, and can also lead to the development of therapeutic agents to treat the disease. Inhibiting an enzyme with decreased function may seem counterintuitive as a treatment strategy, but research has shown that these compounds can bind to a mutated enzyme and act as molecular chaperones, shepherding the enzyme to the lysosome (where the inhibitor dissociates at the low pH), resulting in an increased amount of enzyme delivered to the lysosome.</w:t>
      </w:r>
    </w:p>
    <w:p w14:paraId="05ED8ADC" w14:textId="77777777" w:rsidR="000F3E8E" w:rsidRPr="00ED4765" w:rsidRDefault="000F3E8E" w:rsidP="000F3E8E">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szCs w:val="24"/>
        </w:rPr>
      </w:pPr>
    </w:p>
    <w:p w14:paraId="7DFD48DB" w14:textId="3ABCDA4A" w:rsidR="00031799" w:rsidRPr="00ED4765" w:rsidRDefault="00EA5020">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spacing w:line="264" w:lineRule="auto"/>
        <w:rPr>
          <w:sz w:val="28"/>
          <w:szCs w:val="28"/>
        </w:rPr>
      </w:pPr>
      <w:r w:rsidRPr="00ED4765">
        <w:rPr>
          <w:sz w:val="28"/>
          <w:szCs w:val="28"/>
        </w:rPr>
        <w:t>Prerequisites</w:t>
      </w:r>
    </w:p>
    <w:p w14:paraId="0FD5F9F4" w14:textId="16E98219" w:rsidR="00031799" w:rsidRDefault="00BF3CEC" w:rsidP="0010565C">
      <w:pPr>
        <w:pStyle w:val="Level1"/>
        <w:numPr>
          <w:ilvl w:val="0"/>
          <w:numId w:val="2"/>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Protein structure and function relationships</w:t>
      </w:r>
    </w:p>
    <w:p w14:paraId="1730A478" w14:textId="4590A8BE" w:rsidR="00BF3CEC" w:rsidRDefault="00BF3CEC" w:rsidP="0010565C">
      <w:pPr>
        <w:pStyle w:val="Level1"/>
        <w:numPr>
          <w:ilvl w:val="0"/>
          <w:numId w:val="2"/>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Intermolecular forces involved in stabilizing protein structure</w:t>
      </w:r>
    </w:p>
    <w:p w14:paraId="5AABD4D1" w14:textId="610D0F2E" w:rsidR="00BF3CEC" w:rsidRDefault="00BF3CEC" w:rsidP="0010565C">
      <w:pPr>
        <w:pStyle w:val="Level1"/>
        <w:numPr>
          <w:ilvl w:val="0"/>
          <w:numId w:val="2"/>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Enzyme structure and catalytic mechanisms</w:t>
      </w:r>
    </w:p>
    <w:p w14:paraId="128ED90A" w14:textId="6018C314" w:rsidR="00C858B8" w:rsidRDefault="00C858B8" w:rsidP="00C858B8">
      <w:pPr>
        <w:pStyle w:val="Level1"/>
        <w:numPr>
          <w:ilvl w:val="0"/>
          <w:numId w:val="2"/>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 xml:space="preserve">Lysosomal enzyme synthesis pathway (for a review, see </w:t>
      </w:r>
      <w:hyperlink r:id="rId7" w:history="1">
        <w:r w:rsidRPr="00B95DE4">
          <w:rPr>
            <w:rStyle w:val="Hyperlink"/>
          </w:rPr>
          <w:t>4.8B Lysosomes in Biology LibreTexts</w:t>
        </w:r>
      </w:hyperlink>
      <w:r>
        <w:t>)</w:t>
      </w:r>
    </w:p>
    <w:p w14:paraId="4D0C501F" w14:textId="6C6A8B21" w:rsidR="00BF3CEC" w:rsidRDefault="00BF3CEC" w:rsidP="00BF3CEC">
      <w:pPr>
        <w:pStyle w:val="Level1"/>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ind w:left="360"/>
      </w:pPr>
    </w:p>
    <w:p w14:paraId="16042644" w14:textId="6E858BD7" w:rsidR="00BF3CEC" w:rsidRPr="00ED4765" w:rsidRDefault="00BF3CEC"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spacing w:line="264" w:lineRule="auto"/>
        <w:rPr>
          <w:sz w:val="28"/>
          <w:szCs w:val="28"/>
        </w:rPr>
      </w:pPr>
      <w:r w:rsidRPr="00ED4765">
        <w:rPr>
          <w:sz w:val="28"/>
          <w:szCs w:val="28"/>
        </w:rPr>
        <w:t>Learning objectives</w:t>
      </w:r>
    </w:p>
    <w:p w14:paraId="383CB494" w14:textId="0B84B7D8" w:rsidR="00BF3CEC" w:rsidRDefault="00BF3CEC" w:rsidP="00BF3CEC">
      <w:pPr>
        <w:pStyle w:val="Level1"/>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At the conclusion of this case stud</w:t>
      </w:r>
      <w:r w:rsidR="00D7731C">
        <w:t>y</w:t>
      </w:r>
      <w:r>
        <w:t>, students will be able to…</w:t>
      </w:r>
    </w:p>
    <w:p w14:paraId="0BE85C3F" w14:textId="668AF2B6" w:rsidR="00BF3CEC" w:rsidRDefault="00BF3CEC" w:rsidP="00BF3CEC">
      <w:pPr>
        <w:pStyle w:val="Level1"/>
        <w:numPr>
          <w:ilvl w:val="0"/>
          <w:numId w:val="2"/>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Describe how changes in the amino acids in an enzyme’s active site alters enzyme activity</w:t>
      </w:r>
    </w:p>
    <w:p w14:paraId="7B8E2334" w14:textId="167E3943" w:rsidR="00BF3CEC" w:rsidRDefault="00BF3CEC" w:rsidP="00BF3CEC">
      <w:pPr>
        <w:pStyle w:val="Level1"/>
        <w:numPr>
          <w:ilvl w:val="0"/>
          <w:numId w:val="2"/>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 xml:space="preserve">Identify intermolecular forces between </w:t>
      </w:r>
      <w:r w:rsidR="008C6406">
        <w:t xml:space="preserve">the substrate and the </w:t>
      </w:r>
      <w:r>
        <w:t>amino acid side chains in an enzyme active site and explain why these forces are essential to enzyme activity</w:t>
      </w:r>
    </w:p>
    <w:p w14:paraId="49C792E0" w14:textId="53F45AAD" w:rsidR="00BF3CEC" w:rsidRDefault="00BF3CEC" w:rsidP="00BF3CEC">
      <w:pPr>
        <w:pStyle w:val="Level1"/>
        <w:numPr>
          <w:ilvl w:val="0"/>
          <w:numId w:val="2"/>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Explain how a non-functional protein leads to a disease state</w:t>
      </w:r>
    </w:p>
    <w:p w14:paraId="6047887F" w14:textId="786C8201" w:rsidR="008A698C" w:rsidRDefault="008A698C" w:rsidP="00BF3CEC">
      <w:pPr>
        <w:pStyle w:val="Level1"/>
        <w:numPr>
          <w:ilvl w:val="0"/>
          <w:numId w:val="2"/>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Explain how small molecule inhibitors can inhibit an enzyme as a therapeutic agent to treat disease</w:t>
      </w:r>
    </w:p>
    <w:p w14:paraId="75C45DA4" w14:textId="09495165" w:rsidR="00CF0D8B" w:rsidRDefault="00CF0D8B" w:rsidP="00CF0D8B">
      <w:pPr>
        <w:pStyle w:val="Level1"/>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ind w:left="360"/>
      </w:pPr>
    </w:p>
    <w:p w14:paraId="65A22D18" w14:textId="4A95955E" w:rsidR="00CF0D8B" w:rsidRPr="00ED4765" w:rsidRDefault="00CF0D8B" w:rsidP="00CF0D8B">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spacing w:line="264" w:lineRule="auto"/>
        <w:rPr>
          <w:sz w:val="28"/>
          <w:szCs w:val="28"/>
        </w:rPr>
      </w:pPr>
      <w:r w:rsidRPr="00ED4765">
        <w:rPr>
          <w:sz w:val="28"/>
          <w:szCs w:val="28"/>
        </w:rPr>
        <w:t>Research question</w:t>
      </w:r>
    </w:p>
    <w:p w14:paraId="0B47C7E6" w14:textId="3100CF6D" w:rsidR="000F3E8E" w:rsidRDefault="00CF0D8B" w:rsidP="00C858B8">
      <w:pPr>
        <w:pStyle w:val="Level1"/>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ind w:firstLine="360"/>
        <w:rPr>
          <w:sz w:val="32"/>
        </w:rPr>
      </w:pPr>
      <w:r>
        <w:t xml:space="preserve">How can we use what we know about the molecular structure of the acid </w:t>
      </w:r>
      <w:r w:rsidRPr="00BF3CEC">
        <w:rPr>
          <w:rFonts w:ascii="Symbol" w:hAnsi="Symbol"/>
        </w:rPr>
        <w:t>b</w:t>
      </w:r>
      <w:r>
        <w:t>-glucosidase enzyme to design drugs to inhibit this enzyme, with the goal of treating Gaucher’s disease?</w:t>
      </w:r>
      <w:r w:rsidR="000F3E8E">
        <w:rPr>
          <w:sz w:val="32"/>
        </w:rPr>
        <w:br w:type="page"/>
      </w:r>
    </w:p>
    <w:p w14:paraId="7BB37C41" w14:textId="663E9E32" w:rsidR="00031799" w:rsidRDefault="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spacing w:line="264" w:lineRule="auto"/>
      </w:pPr>
      <w:r>
        <w:rPr>
          <w:sz w:val="32"/>
        </w:rPr>
        <w:lastRenderedPageBreak/>
        <w:t>Lila’s story</w:t>
      </w:r>
    </w:p>
    <w:p w14:paraId="56EA5BC4" w14:textId="48429D32" w:rsidR="00395B5E" w:rsidRDefault="00EA5020" w:rsidP="00DA40E1">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tab/>
      </w:r>
      <w:r w:rsidR="00BF3CEC">
        <w:t xml:space="preserve"> </w:t>
      </w:r>
      <w:bookmarkStart w:id="1" w:name="_Hlk76542804"/>
      <w:bookmarkStart w:id="2" w:name="_Hlk121146225"/>
      <w:r w:rsidR="00395B5E">
        <w:t>Cristela</w:t>
      </w:r>
      <w:r w:rsidR="00773300">
        <w:t>, a university student in her junior year, was studying</w:t>
      </w:r>
      <w:r w:rsidR="00F739C9">
        <w:t xml:space="preserve"> for a biochemistry exam</w:t>
      </w:r>
      <w:r w:rsidR="00773300">
        <w:t xml:space="preserve"> in her room on a Sunday evening when she heard the front door of the apartment open. </w:t>
      </w:r>
      <w:r w:rsidR="00585DB5">
        <w:t xml:space="preserve">Lila, </w:t>
      </w:r>
      <w:r w:rsidR="00773300">
        <w:t xml:space="preserve">her apartment-mate, was returning from spending a few days at home </w:t>
      </w:r>
      <w:r w:rsidR="00585DB5">
        <w:t xml:space="preserve">with her family </w:t>
      </w:r>
      <w:r w:rsidR="00773300">
        <w:t xml:space="preserve">for the Rosh Hashanah holiday. Lila was carrying a large grocery bag in addition to her suitcase and </w:t>
      </w:r>
      <w:r w:rsidR="00395B5E">
        <w:t>Cristela</w:t>
      </w:r>
      <w:r w:rsidR="00773300">
        <w:t xml:space="preserve"> ran to help her. “I brought lots of goodies from home that I know you will lov</w:t>
      </w:r>
      <w:r w:rsidR="00F739C9">
        <w:t>e,”</w:t>
      </w:r>
      <w:r w:rsidR="00773300">
        <w:t xml:space="preserve"> Lila told </w:t>
      </w:r>
      <w:r w:rsidR="00F739C9">
        <w:t>Cristela</w:t>
      </w:r>
      <w:r w:rsidR="00773300">
        <w:t xml:space="preserve"> as she began to take items out of the grocery bag. “Apples, honey, and pomegranates, which are traditional foods eaten at Rosh Hashanah</w:t>
      </w:r>
      <w:r w:rsidR="00395B5E">
        <w:t xml:space="preserve">. And my mom made a special challah, with honey and raisins.” Cristela’s tight-knit Catholic family had emigrated from Guatemala when she was a baby, and Cristela had not encountered Jewish customs until she’d met Lila at orientation during their </w:t>
      </w:r>
      <w:r w:rsidR="001D22A5">
        <w:t>first</w:t>
      </w:r>
      <w:r w:rsidR="00395B5E">
        <w:t xml:space="preserve"> year.</w:t>
      </w:r>
    </w:p>
    <w:p w14:paraId="698A20C3" w14:textId="1E626EFA" w:rsidR="003A2241" w:rsidRDefault="00395B5E" w:rsidP="00DA40E1">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tab/>
        <w:t>“But that’s not the best part of my time away,” said Lila, as she continued to unpack. “What</w:t>
      </w:r>
      <w:r w:rsidR="00F739C9">
        <w:t xml:space="preserve">’s that?” </w:t>
      </w:r>
      <w:r w:rsidR="00EB25EA">
        <w:t>mumbled</w:t>
      </w:r>
      <w:r w:rsidR="00F739C9">
        <w:t xml:space="preserve"> Cristela, mouth full of the sweet, delicious challah bread</w:t>
      </w:r>
      <w:r w:rsidR="00EB25EA">
        <w:t xml:space="preserve">. </w:t>
      </w:r>
      <w:r w:rsidR="00F739C9">
        <w:t xml:space="preserve">Lila laughed to see her friend’s obvious enjoyment of her mother’s baking. “I went to see my doctor when I was </w:t>
      </w:r>
      <w:r w:rsidR="001D22A5">
        <w:t>home,</w:t>
      </w:r>
      <w:r w:rsidR="00F739C9">
        <w:t xml:space="preserve"> and I finally have a diagnosis for this condition that has been plaguing me for my entire life. I have </w:t>
      </w:r>
      <w:r w:rsidR="00BF3CEC">
        <w:t xml:space="preserve">Type I </w:t>
      </w:r>
      <w:bookmarkStart w:id="3" w:name="_Hlk76542780"/>
      <w:bookmarkEnd w:id="1"/>
      <w:r w:rsidR="00BF3CEC">
        <w:t>Gaucher disease.</w:t>
      </w:r>
      <w:r w:rsidR="00585DB5">
        <w:t xml:space="preserve"> Apparently, it’s a genetic disease, although no one else in my immediate family has it. But my dad remembered an aunt of his who had symptoms similar to mine.</w:t>
      </w:r>
      <w:r w:rsidR="00F739C9">
        <w:t>”</w:t>
      </w:r>
      <w:r w:rsidR="00BF3CEC">
        <w:t xml:space="preserve"> Lila ha</w:t>
      </w:r>
      <w:r w:rsidR="00F739C9">
        <w:t>d</w:t>
      </w:r>
      <w:r w:rsidR="00BF3CEC">
        <w:t xml:space="preserve"> been in poor health most of her life, largely because the many physicians who treated her throughout her </w:t>
      </w:r>
      <w:r w:rsidR="00202247">
        <w:t>childhood</w:t>
      </w:r>
      <w:r w:rsidR="00BF3CEC">
        <w:t xml:space="preserve"> mis-diagnosed her condition as either lupus or leukemia.</w:t>
      </w:r>
      <w:r w:rsidR="00DA40E1">
        <w:t xml:space="preserve"> As a child, Lila was prone to fractures and had the classic signs of the disease–enlarged abdomen (due to an enlarged liver and spleen), skeletal abnormalities, and severe fatigue due to anemia. </w:t>
      </w:r>
      <w:r w:rsidR="00F739C9">
        <w:t xml:space="preserve">Despite Cristela’s efforts to help her, Lila often missed class because of her symptoms. “I am so relieved to at last have a proper diagnosis that I can manage with </w:t>
      </w:r>
      <w:r w:rsidR="00BF3CEC">
        <w:t>drug treatment and lifestyle changes.</w:t>
      </w:r>
      <w:r w:rsidR="00DA40E1">
        <w:t xml:space="preserve"> </w:t>
      </w:r>
      <w:r w:rsidR="003A2241">
        <w:t>My doctor had never seen a Gaucher patient in her practice before, but she’s been consulting with other physicians, as well as research scientists, to devise a treatment plan for me.”</w:t>
      </w:r>
    </w:p>
    <w:p w14:paraId="16C27C69" w14:textId="1AADAFEB" w:rsidR="001D7BBE" w:rsidRDefault="003A2241" w:rsidP="00DA40E1">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tab/>
        <w:t xml:space="preserve">Cristela’s interest was immediately piqued. “Gaucher disease is a lysosomal storage disease, right? I remember my biochemistry professor mention this briefly when we were discussing glycolipids.” </w:t>
      </w:r>
    </w:p>
    <w:p w14:paraId="769EB6D8" w14:textId="2F312D65" w:rsidR="001D7BBE" w:rsidRDefault="001D7BBE" w:rsidP="00DA40E1">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tab/>
        <w:t xml:space="preserve">“If you say so!” laughed Lila, who was a global studies major. “My doctor tells me that I’m not </w:t>
      </w:r>
      <w:r w:rsidR="00BA0CC8">
        <w:t>a suitable candidate</w:t>
      </w:r>
      <w:r>
        <w:t xml:space="preserve"> for ERT because of my allergies, which is fine with me, because that involves injections once </w:t>
      </w:r>
      <w:r w:rsidR="00D7731C">
        <w:t xml:space="preserve">every two </w:t>
      </w:r>
      <w:r>
        <w:t>week</w:t>
      </w:r>
      <w:r w:rsidR="00D7731C">
        <w:t>s</w:t>
      </w:r>
      <w:r>
        <w:t>. Instead, she prescribed the drug Zavesca, which I can take orally.”</w:t>
      </w:r>
    </w:p>
    <w:p w14:paraId="06D6F709" w14:textId="616DEB46" w:rsidR="000F3E8E" w:rsidRDefault="003F47A2" w:rsidP="006F1917">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tab/>
        <w:t xml:space="preserve">“That’s great,” said </w:t>
      </w:r>
      <w:r w:rsidR="003A2241">
        <w:t>Cristela</w:t>
      </w:r>
      <w:r>
        <w:t>. “I’m so glad that you’re finally getting the help you need. And I can use my biochemistry knowledge to answer any questions you have!”</w:t>
      </w:r>
      <w:bookmarkEnd w:id="2"/>
      <w:bookmarkEnd w:id="3"/>
      <w:r w:rsidR="000F3E8E">
        <w:br w:type="page"/>
      </w:r>
    </w:p>
    <w:p w14:paraId="7883F3D7" w14:textId="77777777" w:rsidR="00031799" w:rsidRDefault="00031799" w:rsidP="003A2241">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223"/>
        </w:tabs>
        <w:rPr>
          <w:vanish/>
        </w:rPr>
      </w:pPr>
    </w:p>
    <w:p w14:paraId="485AF64F" w14:textId="77777777" w:rsidR="00031799" w:rsidRDefault="00031799">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rPr>
          <w:vanish/>
        </w:rPr>
      </w:pPr>
    </w:p>
    <w:p w14:paraId="7889476D" w14:textId="73F3BBC4" w:rsidR="00BF3CEC" w:rsidRDefault="00BF3CEC"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spacing w:line="264" w:lineRule="auto"/>
      </w:pPr>
      <w:r>
        <w:rPr>
          <w:sz w:val="32"/>
        </w:rPr>
        <w:t>Background</w:t>
      </w:r>
    </w:p>
    <w:p w14:paraId="1F118C7F" w14:textId="0F44F155" w:rsidR="00031799" w:rsidRDefault="00BF3CEC"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ab/>
        <w:t xml:space="preserve"> </w:t>
      </w:r>
      <w:bookmarkStart w:id="4" w:name="_Hlk121146285"/>
      <w:r w:rsidR="001F5CD9">
        <w:t xml:space="preserve">Acid </w:t>
      </w:r>
      <w:r w:rsidR="001F5CD9" w:rsidRPr="00DA40E1">
        <w:rPr>
          <w:rFonts w:ascii="Symbol" w:hAnsi="Symbol"/>
        </w:rPr>
        <w:t>b</w:t>
      </w:r>
      <w:r w:rsidR="001F5CD9">
        <w:t xml:space="preserve">-glucosidases (also known as glucocerebrosidases or GCases) catalyze the hydrolysis of </w:t>
      </w:r>
      <w:r w:rsidR="00896F4C" w:rsidRPr="005002E0">
        <w:rPr>
          <w:smallCaps/>
        </w:rPr>
        <w:t>d</w:t>
      </w:r>
      <w:r w:rsidR="001F5CD9">
        <w:t>-glucosyl</w:t>
      </w:r>
      <w:r w:rsidR="00FC66D8">
        <w:t>-</w:t>
      </w:r>
      <w:r w:rsidR="00FC66D8" w:rsidRPr="00FC66D8">
        <w:rPr>
          <w:i/>
          <w:iCs/>
        </w:rPr>
        <w:t>N</w:t>
      </w:r>
      <w:r w:rsidR="00FC66D8">
        <w:t>-acylsphingosine, also known as glucosylceramide. The structure of this compound is shown in Figure 1</w:t>
      </w:r>
      <w:r w:rsidR="001F5CD9">
        <w:t xml:space="preserve">. The enzyme featured in this case study (EC 3.2.1.45) is a </w:t>
      </w:r>
      <w:r w:rsidR="00DA40E1">
        <w:t xml:space="preserve">membrane-associated </w:t>
      </w:r>
      <w:r w:rsidR="001F5CD9">
        <w:t xml:space="preserve">lysosomal hydrolase that </w:t>
      </w:r>
      <w:r w:rsidR="00DA40E1">
        <w:t xml:space="preserve">is essential for </w:t>
      </w:r>
      <w:r w:rsidR="00504706">
        <w:t xml:space="preserve">catalyzing the hydrolysis of </w:t>
      </w:r>
      <w:r w:rsidR="00DA40E1">
        <w:t>glucocerebrosides, a normal process in which the cell disposes of its obsolete parts</w:t>
      </w:r>
      <w:r w:rsidR="00EB25EA">
        <w:t xml:space="preserve">. </w:t>
      </w:r>
      <w:r w:rsidR="00040B2E">
        <w:t>The breakdown products can be recycled for the synthesis of new biomolecules, but there is some recently published</w:t>
      </w:r>
      <w:r w:rsidR="008C6406">
        <w:t xml:space="preserve"> data</w:t>
      </w:r>
      <w:r w:rsidR="00040B2E">
        <w:t xml:space="preserve"> that indicate that the breakdown products might </w:t>
      </w:r>
      <w:r w:rsidR="008C6406">
        <w:t>also</w:t>
      </w:r>
      <w:r w:rsidR="00040B2E">
        <w:t xml:space="preserve"> serve as signaling molecules that influence the aging process.</w:t>
      </w:r>
    </w:p>
    <w:bookmarkEnd w:id="4"/>
    <w:p w14:paraId="0B813230" w14:textId="6BF05240" w:rsidR="00FC66D8" w:rsidRDefault="008D6FF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rPr>
          <w:noProof/>
        </w:rPr>
        <w:object w:dxaOrig="1440" w:dyaOrig="1440" w14:anchorId="01C6F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6pt;margin-top:23pt;width:477.1pt;height:140.65pt;z-index:251679744;mso-wrap-edited:f;mso-width-percent:0;mso-height-percent:0;mso-position-horizontal-relative:text;mso-position-vertical-relative:text;mso-width-percent:0;mso-height-percent:0">
            <v:imagedata r:id="rId8" o:title=""/>
            <w10:wrap type="square"/>
          </v:shape>
          <o:OLEObject Type="Embed" ProgID="ChemDraw.Document.6.0" ShapeID="_x0000_s1027" DrawAspect="Content" ObjectID="_1797057036" r:id="rId9"/>
        </w:object>
      </w:r>
    </w:p>
    <w:p w14:paraId="20B554FD" w14:textId="09E9DDD8"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3B298DE0" w14:textId="4434A75C"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33055E39" w14:textId="6FFC7676"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43599131" w14:textId="5E23D63F"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1FDF19BD" w14:textId="14FE9A53"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067319AE" w14:textId="08ACCC2E"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6821BB61" w14:textId="711E5AB1"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348A2C11" w14:textId="33C95414"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4DAB5D2E" w14:textId="4222865A"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4188FFF7" w14:textId="3FD07555"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3B32061C" w14:textId="77777777"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72999E17" w14:textId="77777777" w:rsidR="00FC66D8" w:rsidRDefault="00FC66D8" w:rsidP="00BF3CE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32564BC6" w14:textId="77777777" w:rsidR="006E680D" w:rsidRDefault="006E680D"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0C5251A2" w14:textId="77777777" w:rsidR="000F3E8E" w:rsidRPr="00D80717" w:rsidRDefault="000F3E8E" w:rsidP="000F3E8E">
      <w:pPr>
        <w:framePr w:w="8953" w:wrap="around" w:vAnchor="text" w:hAnchor="page" w:x="1351" w:y="122"/>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pPr>
      <w:r>
        <w:rPr>
          <w:rFonts w:ascii="Arial" w:hAnsi="Arial"/>
          <w:b/>
          <w:sz w:val="20"/>
        </w:rPr>
        <w:t>Figure 1</w:t>
      </w:r>
      <w:r>
        <w:rPr>
          <w:rFonts w:ascii="Arial" w:hAnsi="Arial"/>
          <w:sz w:val="20"/>
        </w:rPr>
        <w:t xml:space="preserve">: </w:t>
      </w:r>
      <w:r w:rsidRPr="005002E0">
        <w:rPr>
          <w:smallCaps/>
        </w:rPr>
        <w:t>d</w:t>
      </w:r>
      <w:r>
        <w:rPr>
          <w:sz w:val="20"/>
        </w:rPr>
        <w:t>-glucosyl-</w:t>
      </w:r>
      <w:r w:rsidRPr="00EC57EF">
        <w:rPr>
          <w:i/>
          <w:iCs/>
          <w:sz w:val="20"/>
        </w:rPr>
        <w:t>N</w:t>
      </w:r>
      <w:r>
        <w:rPr>
          <w:sz w:val="20"/>
        </w:rPr>
        <w:t xml:space="preserve">-acylsphingosine (also known as glucosylceramide), the substrate for the acid </w:t>
      </w:r>
      <w:r w:rsidRPr="00EC57EF">
        <w:rPr>
          <w:rFonts w:ascii="Symbol" w:hAnsi="Symbol"/>
          <w:sz w:val="20"/>
        </w:rPr>
        <w:t>b</w:t>
      </w:r>
      <w:r>
        <w:rPr>
          <w:sz w:val="20"/>
        </w:rPr>
        <w:t xml:space="preserve">-glucosidase enzyme. The R group is typically a fatty acyl chain. Products are </w:t>
      </w:r>
      <w:r w:rsidRPr="005002E0">
        <w:rPr>
          <w:smallCaps/>
        </w:rPr>
        <w:t>d</w:t>
      </w:r>
      <w:r>
        <w:rPr>
          <w:sz w:val="20"/>
        </w:rPr>
        <w:t xml:space="preserve">-glucose and </w:t>
      </w:r>
      <w:r w:rsidRPr="00EC57EF">
        <w:rPr>
          <w:i/>
          <w:iCs/>
          <w:sz w:val="20"/>
        </w:rPr>
        <w:t>N</w:t>
      </w:r>
      <w:r>
        <w:rPr>
          <w:sz w:val="20"/>
        </w:rPr>
        <w:t xml:space="preserve">-acylsphingosine (ceramide). If the acid </w:t>
      </w:r>
      <w:r w:rsidRPr="00EC57EF">
        <w:rPr>
          <w:rFonts w:ascii="Symbol" w:hAnsi="Symbol"/>
          <w:sz w:val="20"/>
        </w:rPr>
        <w:t>b</w:t>
      </w:r>
      <w:r>
        <w:rPr>
          <w:sz w:val="20"/>
        </w:rPr>
        <w:t xml:space="preserve">-glucosidase enzyme is nonfunctional, </w:t>
      </w:r>
      <w:r w:rsidRPr="005002E0">
        <w:rPr>
          <w:smallCaps/>
        </w:rPr>
        <w:t>d</w:t>
      </w:r>
      <w:r>
        <w:rPr>
          <w:sz w:val="20"/>
        </w:rPr>
        <w:t>-glucosyl-</w:t>
      </w:r>
      <w:r w:rsidRPr="00EC57EF">
        <w:rPr>
          <w:i/>
          <w:iCs/>
          <w:sz w:val="20"/>
        </w:rPr>
        <w:t>N</w:t>
      </w:r>
      <w:r>
        <w:rPr>
          <w:sz w:val="20"/>
        </w:rPr>
        <w:t>-acylsphingosine accumulates.</w:t>
      </w:r>
    </w:p>
    <w:p w14:paraId="4CF979DD" w14:textId="77777777" w:rsidR="000F3E8E" w:rsidRDefault="000F3E8E"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364A8DF3" w14:textId="77777777" w:rsidR="000F3E8E" w:rsidRDefault="000F3E8E"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26A89C7D" w14:textId="77777777" w:rsidR="000F3E8E" w:rsidRDefault="000F3E8E"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5F308670" w14:textId="77777777" w:rsidR="000F3E8E" w:rsidRDefault="000F3E8E"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675F4109" w14:textId="77777777" w:rsidR="000F3E8E" w:rsidRDefault="000F3E8E"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131370B1" w14:textId="63A2608F" w:rsidR="00746B63" w:rsidRDefault="0010565C"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r>
        <w:tab/>
      </w:r>
      <w:r w:rsidR="00E275E4">
        <w:tab/>
      </w:r>
      <w:r w:rsidR="006E680D">
        <w:t xml:space="preserve">The acid </w:t>
      </w:r>
      <w:r w:rsidR="006E680D" w:rsidRPr="00E275E4">
        <w:rPr>
          <w:rFonts w:ascii="Symbol" w:hAnsi="Symbol"/>
        </w:rPr>
        <w:t>b</w:t>
      </w:r>
      <w:r w:rsidR="006E680D">
        <w:t>-glucosidase enzyme is a single chain, three-domain, 497-amino acid residue 62-kDa protein. Synthesis of the protein begins on cytosolic ribosomes, which are directed to the ER following the emergence of an N-terminal sequence that is removed in the endoplasmic reticulum (ER) as the enzyme makes its journey from the ER to the lysosomes where it functions (Fig. 2). The glucosidase is glycosylated in the ER, a necessary structural requirement for proper protein folding. Disulfide bonds stabilize the protein. The glucosidase is directed to the lysosomes by binding to a mannose-6-phosphate receptor, which targets the enzyme to this organelle.</w:t>
      </w:r>
    </w:p>
    <w:p w14:paraId="2D40DB12" w14:textId="4881768E" w:rsidR="00746B63" w:rsidRDefault="00CF0D8B"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r>
        <w:rPr>
          <w:noProof/>
        </w:rPr>
        <w:lastRenderedPageBreak/>
        <w:drawing>
          <wp:anchor distT="0" distB="0" distL="114300" distR="114300" simplePos="0" relativeHeight="251661311" behindDoc="0" locked="0" layoutInCell="1" allowOverlap="1" wp14:anchorId="5E0A14C5" wp14:editId="22A689AD">
            <wp:simplePos x="0" y="0"/>
            <wp:positionH relativeFrom="margin">
              <wp:posOffset>416462</wp:posOffset>
            </wp:positionH>
            <wp:positionV relativeFrom="paragraph">
              <wp:posOffset>1319</wp:posOffset>
            </wp:positionV>
            <wp:extent cx="5257800" cy="3027045"/>
            <wp:effectExtent l="0" t="0" r="0" b="190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57800" cy="3027045"/>
                    </a:xfrm>
                    <a:prstGeom prst="rect">
                      <a:avLst/>
                    </a:prstGeom>
                  </pic:spPr>
                </pic:pic>
              </a:graphicData>
            </a:graphic>
            <wp14:sizeRelH relativeFrom="page">
              <wp14:pctWidth>0</wp14:pctWidth>
            </wp14:sizeRelH>
            <wp14:sizeRelV relativeFrom="page">
              <wp14:pctHeight>0</wp14:pctHeight>
            </wp14:sizeRelV>
          </wp:anchor>
        </w:drawing>
      </w:r>
    </w:p>
    <w:p w14:paraId="0D5227D8" w14:textId="1170CD53" w:rsidR="00746B63" w:rsidRDefault="00746B63"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61EE8FBD" w14:textId="6F094568" w:rsidR="00746B63" w:rsidRDefault="00746B63"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4B6FB84F" w14:textId="77777777" w:rsidR="00746B63" w:rsidRDefault="00746B63"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12848521" w14:textId="77777777"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2B4B7902" w14:textId="77777777"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5AFFE214" w14:textId="77777777"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48110ED2" w14:textId="77777777"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2BB89B2E" w14:textId="77777777"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223073EA" w14:textId="77777777"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003D3AC9" w14:textId="77777777"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009BD859" w14:textId="77777777"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7F19D2E8" w14:textId="77777777"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1C48F824" w14:textId="392B3514"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3E651536" w14:textId="77777777"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584FADCD" w14:textId="77777777" w:rsidR="00D74A91" w:rsidRDefault="00D74A91" w:rsidP="00DA40E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1676C868" w14:textId="77777777" w:rsidR="00C858B8" w:rsidRDefault="00C858B8" w:rsidP="00C858B8">
      <w:pPr>
        <w:framePr w:w="11195" w:h="2826" w:hRule="exact" w:wrap="around" w:vAnchor="text" w:hAnchor="page" w:x="481" w:y="493"/>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spacing w:before="40" w:after="240"/>
        <w:ind w:left="288" w:right="288"/>
        <w:rPr>
          <w:vanish/>
        </w:rPr>
      </w:pPr>
      <w:r>
        <w:rPr>
          <w:rFonts w:ascii="Arial" w:hAnsi="Arial"/>
          <w:b/>
          <w:sz w:val="20"/>
        </w:rPr>
        <w:t>Figure 2</w:t>
      </w:r>
      <w:r>
        <w:rPr>
          <w:rFonts w:ascii="Arial" w:hAnsi="Arial"/>
          <w:sz w:val="20"/>
        </w:rPr>
        <w:t xml:space="preserve">: </w:t>
      </w:r>
      <w:r w:rsidRPr="00746B63">
        <w:rPr>
          <w:sz w:val="20"/>
        </w:rPr>
        <w:t xml:space="preserve">The acid </w:t>
      </w:r>
      <w:r w:rsidRPr="00746B63">
        <w:rPr>
          <w:rFonts w:ascii="Symbol" w:hAnsi="Symbol"/>
          <w:sz w:val="20"/>
        </w:rPr>
        <w:t>b</w:t>
      </w:r>
      <w:r w:rsidRPr="00746B63">
        <w:rPr>
          <w:sz w:val="20"/>
        </w:rPr>
        <w:t xml:space="preserve">-glucosidase that is the subject of this case study is synthesized on ER-bound ribosomes. </w:t>
      </w:r>
      <w:r>
        <w:rPr>
          <w:sz w:val="20"/>
        </w:rPr>
        <w:t xml:space="preserve">Synthesis begins on cytosolic ribosomes, but when a lysosome-targeting signal emerges, the ribosome is directed to the ER, where it binds to a specific receptor. Synthesis is completed, and the glucosidase is threaded through a transporter to the interior of the ER. </w:t>
      </w:r>
      <w:r w:rsidRPr="00746B63">
        <w:rPr>
          <w:sz w:val="20"/>
        </w:rPr>
        <w:t xml:space="preserve">In the </w:t>
      </w:r>
      <w:r>
        <w:rPr>
          <w:sz w:val="20"/>
        </w:rPr>
        <w:t xml:space="preserve">ER </w:t>
      </w:r>
      <w:r w:rsidRPr="00746B63">
        <w:rPr>
          <w:sz w:val="20"/>
        </w:rPr>
        <w:t>lumen, the glucosidase (triangle) is glycosylated and acquires a mannose-6-phosphate marker</w:t>
      </w:r>
      <w:r>
        <w:rPr>
          <w:sz w:val="20"/>
        </w:rPr>
        <w:t xml:space="preserve"> (shown as a red circle labeled with a P)</w:t>
      </w:r>
      <w:r w:rsidRPr="00746B63">
        <w:rPr>
          <w:sz w:val="20"/>
        </w:rPr>
        <w:t>.</w:t>
      </w:r>
      <w:r>
        <w:rPr>
          <w:sz w:val="20"/>
        </w:rPr>
        <w:t xml:space="preserve"> Molecular chaperones in the ER assist in proper protein folding.</w:t>
      </w:r>
      <w:r w:rsidRPr="00746B63">
        <w:rPr>
          <w:sz w:val="20"/>
        </w:rPr>
        <w:t xml:space="preserve"> The glucosidase is </w:t>
      </w:r>
      <w:r>
        <w:rPr>
          <w:sz w:val="20"/>
        </w:rPr>
        <w:t xml:space="preserve">then </w:t>
      </w:r>
      <w:r w:rsidRPr="00746B63">
        <w:rPr>
          <w:sz w:val="20"/>
        </w:rPr>
        <w:t xml:space="preserve">transferred to the </w:t>
      </w:r>
      <w:r w:rsidRPr="00746B63">
        <w:rPr>
          <w:i/>
          <w:iCs/>
          <w:sz w:val="20"/>
        </w:rPr>
        <w:t>cis</w:t>
      </w:r>
      <w:r w:rsidRPr="00746B63">
        <w:rPr>
          <w:sz w:val="20"/>
        </w:rPr>
        <w:t>-Golgi, where it binds to the mannose-6-phosphate receptor</w:t>
      </w:r>
      <w:r>
        <w:rPr>
          <w:sz w:val="20"/>
        </w:rPr>
        <w:t xml:space="preserve"> (shown in magenta as a half-circle)</w:t>
      </w:r>
      <w:r w:rsidRPr="00746B63">
        <w:rPr>
          <w:sz w:val="20"/>
        </w:rPr>
        <w:t xml:space="preserve">. The glucosidase-receptor complex buds off from the </w:t>
      </w:r>
      <w:r w:rsidRPr="00476325">
        <w:rPr>
          <w:i/>
          <w:iCs/>
          <w:sz w:val="20"/>
        </w:rPr>
        <w:t>trans</w:t>
      </w:r>
      <w:r w:rsidRPr="00746B63">
        <w:rPr>
          <w:sz w:val="20"/>
        </w:rPr>
        <w:t xml:space="preserve"> Golgi and fuses with the late endosome, where the glucosidase dissociates</w:t>
      </w:r>
      <w:r>
        <w:rPr>
          <w:sz w:val="20"/>
        </w:rPr>
        <w:t xml:space="preserve"> from the receptor</w:t>
      </w:r>
      <w:r w:rsidRPr="00746B63">
        <w:rPr>
          <w:sz w:val="20"/>
        </w:rPr>
        <w:t xml:space="preserve"> at the low pH of the endosome. </w:t>
      </w:r>
      <w:bookmarkStart w:id="5" w:name="_Hlk167964095"/>
      <w:r w:rsidRPr="00746B63">
        <w:rPr>
          <w:sz w:val="20"/>
        </w:rPr>
        <w:t>Finally, the glucosidase is delivered to the lysosome</w:t>
      </w:r>
      <w:r>
        <w:rPr>
          <w:sz w:val="20"/>
        </w:rPr>
        <w:t xml:space="preserve"> (a membrane-bound organelle containing digestive enzymes; its function is to rid the cell of obsolete parts) where it has a half-life of about 60 hours. </w:t>
      </w:r>
      <w:bookmarkEnd w:id="5"/>
      <w:r>
        <w:rPr>
          <w:sz w:val="20"/>
        </w:rPr>
        <w:t xml:space="preserve">Glycosylation of the enzyme is critical to this survival time in the acidic environment (pH ~ 5) in the lysosome. Proper folding of the protein is also required for successful progression through the pathway, as improperly folded proteins may be retro translocated back into the cytosol for degradation by the proteasome </w:t>
      </w:r>
      <w:r w:rsidRPr="00746B63">
        <w:rPr>
          <w:sz w:val="20"/>
        </w:rPr>
        <w:t xml:space="preserve">(from Filocamo and Marrone, </w:t>
      </w:r>
      <w:r w:rsidRPr="004C5CB7">
        <w:rPr>
          <w:i/>
          <w:iCs/>
          <w:sz w:val="20"/>
        </w:rPr>
        <w:t>Human Genomics</w:t>
      </w:r>
      <w:r w:rsidRPr="00746B63">
        <w:rPr>
          <w:sz w:val="20"/>
        </w:rPr>
        <w:t xml:space="preserve"> </w:t>
      </w:r>
      <w:r w:rsidRPr="004C5CB7">
        <w:rPr>
          <w:b/>
          <w:bCs/>
          <w:sz w:val="20"/>
        </w:rPr>
        <w:t>5(3)</w:t>
      </w:r>
      <w:r w:rsidRPr="004C5CB7">
        <w:rPr>
          <w:sz w:val="20"/>
        </w:rPr>
        <w:t>,</w:t>
      </w:r>
      <w:r w:rsidRPr="00746B63">
        <w:rPr>
          <w:sz w:val="20"/>
        </w:rPr>
        <w:t xml:space="preserve"> 156-159</w:t>
      </w:r>
      <w:r>
        <w:rPr>
          <w:sz w:val="20"/>
        </w:rPr>
        <w:t xml:space="preserve">, </w:t>
      </w:r>
      <w:r w:rsidRPr="00746B63">
        <w:rPr>
          <w:sz w:val="20"/>
        </w:rPr>
        <w:t>2011</w:t>
      </w:r>
      <w:r>
        <w:rPr>
          <w:sz w:val="20"/>
        </w:rPr>
        <w:t>. © All rights reserved</w:t>
      </w:r>
      <w:r w:rsidRPr="00746B63">
        <w:rPr>
          <w:sz w:val="20"/>
        </w:rPr>
        <w:t>).</w:t>
      </w:r>
    </w:p>
    <w:p w14:paraId="64939264" w14:textId="77777777" w:rsidR="00E275E4" w:rsidRDefault="00E275E4"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4"/>
        </w:rPr>
      </w:pPr>
    </w:p>
    <w:p w14:paraId="6EC9A139" w14:textId="395F6F1B" w:rsidR="00E275E4" w:rsidRDefault="00E275E4"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4"/>
        </w:rPr>
      </w:pPr>
    </w:p>
    <w:p w14:paraId="4AEA1908" w14:textId="77777777" w:rsidR="006F1917" w:rsidRDefault="006F1917"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4"/>
        </w:rPr>
      </w:pPr>
    </w:p>
    <w:p w14:paraId="62AEF21B" w14:textId="2B611612" w:rsidR="00CF0D8B" w:rsidRDefault="001D40FC"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Cs w:val="24"/>
        </w:rPr>
        <w:t>Patients with Gaucher</w:t>
      </w:r>
      <w:r w:rsidR="001D7BBE">
        <w:rPr>
          <w:szCs w:val="24"/>
        </w:rPr>
        <w:t xml:space="preserve"> </w:t>
      </w:r>
      <w:r>
        <w:rPr>
          <w:szCs w:val="24"/>
        </w:rPr>
        <w:t xml:space="preserve">disease have a non-functional acid </w:t>
      </w:r>
      <w:r w:rsidRPr="00EC57EF">
        <w:rPr>
          <w:rFonts w:ascii="Symbol" w:hAnsi="Symbol"/>
          <w:szCs w:val="24"/>
        </w:rPr>
        <w:t>b</w:t>
      </w:r>
      <w:r>
        <w:rPr>
          <w:szCs w:val="24"/>
        </w:rPr>
        <w:t xml:space="preserve">-glucosidase enzyme, which results in the accumulation of </w:t>
      </w:r>
      <w:r w:rsidRPr="005002E0">
        <w:rPr>
          <w:smallCaps/>
        </w:rPr>
        <w:t>d</w:t>
      </w:r>
      <w:r>
        <w:t>-glucosyl-</w:t>
      </w:r>
      <w:r w:rsidRPr="00EC57EF">
        <w:rPr>
          <w:i/>
          <w:iCs/>
        </w:rPr>
        <w:t>N</w:t>
      </w:r>
      <w:r>
        <w:t xml:space="preserve">-acylsphingosine </w:t>
      </w:r>
      <w:r w:rsidR="00E275E4">
        <w:t xml:space="preserve">in the spleen, liver, lungs, </w:t>
      </w:r>
      <w:r w:rsidR="00EB25EA">
        <w:t>bones,</w:t>
      </w:r>
      <w:r w:rsidR="00E275E4">
        <w:t xml:space="preserve"> and brain, </w:t>
      </w:r>
      <w:r>
        <w:t>which causes</w:t>
      </w:r>
      <w:r w:rsidR="00ED7B9F">
        <w:t xml:space="preserve"> </w:t>
      </w:r>
      <w:r>
        <w:t>the symptoms observed in these patients</w:t>
      </w:r>
      <w:r w:rsidR="00E275E4">
        <w:t xml:space="preserve">—enlarged liver and spleen, liver malfunction, skeletal </w:t>
      </w:r>
      <w:r w:rsidR="00EB25EA">
        <w:t>disorders,</w:t>
      </w:r>
      <w:r w:rsidR="00E275E4">
        <w:t xml:space="preserve"> and neurological complications</w:t>
      </w:r>
      <w:r>
        <w:t xml:space="preserve">. While the genetic disease is most common in the Ashkenazi Jewish population, the disease has a world-wide distribution, affecting </w:t>
      </w:r>
      <w:r w:rsidR="00E275E4">
        <w:t>individuals</w:t>
      </w:r>
      <w:r>
        <w:t xml:space="preserve"> of all races and ethnicities. The most common mutation involves a substitution of serine for asparagine at residue 370 (N370S) which accounts for about three-quarters of the cases in the Ashkenazi Jewish population and about a third of the non-Jewish population. Interestingly, Asn 370 is not a catalytic residue. Type I Gaucher patients typically have a very low level</w:t>
      </w:r>
      <w:r w:rsidR="00B842CA">
        <w:t xml:space="preserve"> (about 10-15% of normal)</w:t>
      </w:r>
      <w:r>
        <w:t xml:space="preserve"> of </w:t>
      </w:r>
      <w:r w:rsidRPr="00417EDA">
        <w:rPr>
          <w:rFonts w:ascii="Symbol" w:hAnsi="Symbol"/>
        </w:rPr>
        <w:t>b</w:t>
      </w:r>
      <w:r>
        <w:t>-glucosidase enzyme</w:t>
      </w:r>
      <w:r w:rsidR="00CF0D8B">
        <w:t xml:space="preserve"> activity. </w:t>
      </w:r>
    </w:p>
    <w:p w14:paraId="00BBEAD8" w14:textId="77777777" w:rsidR="00CF0D8B" w:rsidRDefault="00CF0D8B"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C50C763" w14:textId="2B93E9C9" w:rsidR="001D40FC" w:rsidRPr="00AD5317" w:rsidRDefault="00CF0D8B"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There are three strategies used to treat Gaucher</w:t>
      </w:r>
      <w:r w:rsidR="00D6426A">
        <w:t xml:space="preserve"> </w:t>
      </w:r>
      <w:r>
        <w:t xml:space="preserve">disease, diagrammed in Figure 3. One strategy involves enzyme replacement therapy (ERT) in which patients are provided with a recombinant form of the acid </w:t>
      </w:r>
      <w:r w:rsidRPr="001D22A5">
        <w:rPr>
          <w:rFonts w:ascii="Symbol" w:hAnsi="Symbol"/>
        </w:rPr>
        <w:t>b</w:t>
      </w:r>
      <w:r>
        <w:t>-glucosidase enzyme (Cerezyme</w:t>
      </w:r>
      <w:r w:rsidRPr="001D22A5">
        <w:rPr>
          <w:vertAlign w:val="superscript"/>
        </w:rPr>
        <w:t>TM</w:t>
      </w:r>
      <w:r>
        <w:t xml:space="preserve">). A </w:t>
      </w:r>
      <w:r w:rsidR="001D22A5">
        <w:t>disadvantage</w:t>
      </w:r>
      <w:r>
        <w:t xml:space="preserve"> of this therapy is that patients may develop an immune response to the exogenous </w:t>
      </w:r>
      <w:r w:rsidR="001D22A5">
        <w:t>enzyme</w:t>
      </w:r>
      <w:r>
        <w:t xml:space="preserve">, limiting its effectiveness. A second strategy aims to </w:t>
      </w:r>
      <w:r w:rsidR="001D22A5">
        <w:t>reduce</w:t>
      </w:r>
      <w:r>
        <w:t xml:space="preserve"> </w:t>
      </w:r>
      <w:r>
        <w:lastRenderedPageBreak/>
        <w:t xml:space="preserve">the concentration of the substrate (SRT) by </w:t>
      </w:r>
      <w:r w:rsidR="001D40FC">
        <w:rPr>
          <w:szCs w:val="24"/>
        </w:rPr>
        <w:t>inhibiting the synthase enzyme that synthesizes glycosphingolipids</w:t>
      </w:r>
      <w:r w:rsidR="004758E9">
        <w:rPr>
          <w:szCs w:val="24"/>
        </w:rPr>
        <w:t xml:space="preserve">. </w:t>
      </w:r>
      <w:r w:rsidR="001D40FC">
        <w:rPr>
          <w:szCs w:val="24"/>
        </w:rPr>
        <w:t xml:space="preserve">Reduction in substrate concentration </w:t>
      </w:r>
      <w:r w:rsidR="00040B2E">
        <w:rPr>
          <w:szCs w:val="24"/>
        </w:rPr>
        <w:t>is the outcome,</w:t>
      </w:r>
      <w:r w:rsidR="001D40FC">
        <w:rPr>
          <w:szCs w:val="24"/>
        </w:rPr>
        <w:t xml:space="preserve"> due to the decreased synthesis of the substrate, </w:t>
      </w:r>
      <w:r w:rsidR="00AD7344">
        <w:rPr>
          <w:szCs w:val="24"/>
        </w:rPr>
        <w:t>reducing</w:t>
      </w:r>
      <w:r w:rsidR="007B2CC1">
        <w:rPr>
          <w:szCs w:val="24"/>
        </w:rPr>
        <w:t xml:space="preserve"> the amount required to be degraded by the</w:t>
      </w:r>
      <w:r w:rsidR="007B2CC1" w:rsidRPr="00EB25EA">
        <w:rPr>
          <w:rFonts w:ascii="Symbol" w:hAnsi="Symbol"/>
          <w:szCs w:val="24"/>
        </w:rPr>
        <w:t xml:space="preserve"> b</w:t>
      </w:r>
      <w:r w:rsidR="007B2CC1">
        <w:rPr>
          <w:szCs w:val="24"/>
        </w:rPr>
        <w:t>-glucosidase enzyme, which has the potential to be successful even with the low activity of the enzyme found in Gaucher patients</w:t>
      </w:r>
      <w:r w:rsidR="00EB25EA">
        <w:rPr>
          <w:szCs w:val="24"/>
        </w:rPr>
        <w:t xml:space="preserve">. </w:t>
      </w:r>
      <w:r w:rsidR="001D40FC">
        <w:rPr>
          <w:szCs w:val="24"/>
        </w:rPr>
        <w:t xml:space="preserve">A third strategy involves the use of inhibitors that </w:t>
      </w:r>
      <w:r w:rsidR="004744E8">
        <w:rPr>
          <w:szCs w:val="24"/>
        </w:rPr>
        <w:t xml:space="preserve">act as “pharmacological chaperones” which </w:t>
      </w:r>
      <w:r w:rsidR="001D40FC">
        <w:rPr>
          <w:szCs w:val="24"/>
        </w:rPr>
        <w:t>bind to the active site and stabilize the mutant form of the enzyme</w:t>
      </w:r>
      <w:r w:rsidR="00BE0FD2">
        <w:rPr>
          <w:szCs w:val="24"/>
        </w:rPr>
        <w:t xml:space="preserve"> at neutral pH</w:t>
      </w:r>
      <w:r w:rsidR="001D40FC">
        <w:rPr>
          <w:szCs w:val="24"/>
        </w:rPr>
        <w:t xml:space="preserve"> as it progresses through the secretory pathway diagrammed in Figure 1</w:t>
      </w:r>
      <w:r w:rsidR="00EB25EA">
        <w:rPr>
          <w:szCs w:val="24"/>
        </w:rPr>
        <w:t xml:space="preserve">. </w:t>
      </w:r>
      <w:r w:rsidR="00BE0FD2">
        <w:rPr>
          <w:szCs w:val="24"/>
        </w:rPr>
        <w:t xml:space="preserve">The inhibitor dissociates when the enzyme reaches the low pH environment of the lysosome. </w:t>
      </w:r>
      <w:r w:rsidR="001D40FC">
        <w:rPr>
          <w:szCs w:val="24"/>
        </w:rPr>
        <w:t>This is termed chaperone-mediated therapy (CM</w:t>
      </w:r>
      <w:r w:rsidR="00AD7344">
        <w:rPr>
          <w:szCs w:val="24"/>
        </w:rPr>
        <w:t>T</w:t>
      </w:r>
      <w:r w:rsidR="001D40FC">
        <w:rPr>
          <w:szCs w:val="24"/>
        </w:rPr>
        <w:t xml:space="preserve">). Interestingly, </w:t>
      </w:r>
      <w:r w:rsidR="004758E9">
        <w:rPr>
          <w:szCs w:val="24"/>
        </w:rPr>
        <w:t xml:space="preserve">there are compounds that are able to </w:t>
      </w:r>
      <w:r w:rsidR="001D40FC">
        <w:rPr>
          <w:szCs w:val="24"/>
        </w:rPr>
        <w:t xml:space="preserve">bind to both the </w:t>
      </w:r>
      <w:r w:rsidR="00ED6436">
        <w:rPr>
          <w:szCs w:val="24"/>
        </w:rPr>
        <w:t>glucosylceramide</w:t>
      </w:r>
      <w:r w:rsidR="001D40FC">
        <w:rPr>
          <w:szCs w:val="24"/>
        </w:rPr>
        <w:t xml:space="preserve"> synthase as well as the </w:t>
      </w:r>
      <w:r w:rsidR="00AD7344">
        <w:rPr>
          <w:szCs w:val="24"/>
        </w:rPr>
        <w:t xml:space="preserve">acid </w:t>
      </w:r>
      <w:r w:rsidR="001D40FC" w:rsidRPr="0077634E">
        <w:rPr>
          <w:rFonts w:ascii="Symbol" w:hAnsi="Symbol"/>
          <w:szCs w:val="24"/>
        </w:rPr>
        <w:t>b</w:t>
      </w:r>
      <w:r w:rsidR="001D40FC">
        <w:rPr>
          <w:szCs w:val="24"/>
        </w:rPr>
        <w:t xml:space="preserve">-glucosidase, meaning that a single drug has the potential to act in a way that employs both the </w:t>
      </w:r>
      <w:r w:rsidR="00040B2E">
        <w:rPr>
          <w:szCs w:val="24"/>
        </w:rPr>
        <w:t xml:space="preserve">SRT and CMT </w:t>
      </w:r>
      <w:r w:rsidR="008D6FF8">
        <w:rPr>
          <w:noProof/>
        </w:rPr>
        <w:object w:dxaOrig="1440" w:dyaOrig="1440" w14:anchorId="5F1016BE">
          <v:shape id="_x0000_s1026" type="#_x0000_t75" alt="" style="position:absolute;margin-left:93.45pt;margin-top:150.3pt;width:309.9pt;height:122pt;z-index:251694080;mso-wrap-edited:f;mso-width-percent:0;mso-height-percent:0;mso-position-horizontal-relative:text;mso-position-vertical-relative:text;mso-width-percent:0;mso-height-percent:0">
            <v:imagedata r:id="rId11" o:title=""/>
            <w10:wrap type="square"/>
          </v:shape>
          <o:OLEObject Type="Embed" ProgID="ChemDraw.Document.6.0" ShapeID="_x0000_s1026" DrawAspect="Content" ObjectID="_1797057035" r:id="rId12"/>
        </w:object>
      </w:r>
      <w:r w:rsidR="001D40FC">
        <w:rPr>
          <w:szCs w:val="24"/>
        </w:rPr>
        <w:t>strategies.</w:t>
      </w:r>
    </w:p>
    <w:p w14:paraId="71FE0B83" w14:textId="49D2FA6B" w:rsidR="001D40FC" w:rsidRDefault="001D40FC"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3A0C85D2" w14:textId="4AB4883F" w:rsidR="001D40FC" w:rsidRDefault="001D40FC"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0D768C0E" w14:textId="36AE9832" w:rsidR="001D40FC" w:rsidRDefault="001D40FC"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17E7A27F" w14:textId="6FA55EBE" w:rsidR="001D40FC" w:rsidRDefault="001D40FC"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pPr>
    </w:p>
    <w:p w14:paraId="2C519876" w14:textId="77777777" w:rsidR="001D40FC" w:rsidRDefault="001D40FC" w:rsidP="001D40FC">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vanish/>
        </w:rPr>
      </w:pPr>
    </w:p>
    <w:p w14:paraId="5152B4CB" w14:textId="77777777" w:rsidR="001D40FC" w:rsidRDefault="001D40FC" w:rsidP="001D40FC">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tab/>
      </w:r>
    </w:p>
    <w:p w14:paraId="6CEEA5FC" w14:textId="77777777" w:rsidR="001D40FC" w:rsidRDefault="001D40FC"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1A62B760" w14:textId="1E04F60F" w:rsidR="001D40FC" w:rsidRDefault="001D40FC"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1BAC718A" w14:textId="2E9E5127" w:rsidR="001D40FC" w:rsidRDefault="001D40FC" w:rsidP="001D40FC">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22D0513E" w14:textId="71E39065" w:rsidR="00F345FB" w:rsidRPr="00122110" w:rsidRDefault="00F345FB" w:rsidP="00F345FB">
      <w:pPr>
        <w:framePr w:w="11011" w:wrap="around" w:vAnchor="text" w:hAnchor="page" w:x="628" w:y="349"/>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pPr>
      <w:r>
        <w:rPr>
          <w:rFonts w:ascii="Arial" w:hAnsi="Arial"/>
          <w:b/>
          <w:sz w:val="20"/>
        </w:rPr>
        <w:t>Figure 3</w:t>
      </w:r>
      <w:r>
        <w:rPr>
          <w:rFonts w:ascii="Arial" w:hAnsi="Arial"/>
          <w:sz w:val="20"/>
        </w:rPr>
        <w:t>:</w:t>
      </w:r>
      <w:r>
        <w:rPr>
          <w:sz w:val="20"/>
        </w:rPr>
        <w:t xml:space="preserve"> Therapies to treat Gaucher disease, in which a low-functioning acid </w:t>
      </w:r>
      <w:r w:rsidRPr="00AD7344">
        <w:rPr>
          <w:rFonts w:ascii="Symbol" w:hAnsi="Symbol"/>
          <w:sz w:val="20"/>
        </w:rPr>
        <w:t>b</w:t>
      </w:r>
      <w:r>
        <w:rPr>
          <w:sz w:val="20"/>
        </w:rPr>
        <w:t xml:space="preserve">-glucosidase enzyme results in the accumulation of glucosylceramide, which is responsible for the symptoms of the disease. (1) Enzyme replacement therapy (ERT) involves providing the missing acid </w:t>
      </w:r>
      <w:r w:rsidRPr="0092322E">
        <w:rPr>
          <w:rFonts w:ascii="Symbol" w:hAnsi="Symbol"/>
          <w:sz w:val="20"/>
        </w:rPr>
        <w:t>b</w:t>
      </w:r>
      <w:r>
        <w:rPr>
          <w:sz w:val="20"/>
        </w:rPr>
        <w:t xml:space="preserve">-glucosidase enzyme. (2) Substrate reduction therapy (SRT) involves using a drug that binds to and inhibits the </w:t>
      </w:r>
      <w:r w:rsidR="00D31B8F">
        <w:rPr>
          <w:sz w:val="20"/>
        </w:rPr>
        <w:t>glucosylceramide</w:t>
      </w:r>
      <w:r>
        <w:rPr>
          <w:sz w:val="20"/>
        </w:rPr>
        <w:t xml:space="preserve"> synthase enzyme (green), which results in a decrease in the amount of glucosylceramide. (3) Chaperone-mediated therapy (CMT) involves the use of a drug which binds to the mutant acid </w:t>
      </w:r>
      <w:r w:rsidRPr="0092322E">
        <w:rPr>
          <w:rFonts w:ascii="Symbol" w:hAnsi="Symbol"/>
          <w:sz w:val="20"/>
        </w:rPr>
        <w:t>b</w:t>
      </w:r>
      <w:r>
        <w:rPr>
          <w:sz w:val="20"/>
        </w:rPr>
        <w:t xml:space="preserve">-glucosidase at neutral pH (shown in blue) and stabilizes the mutant enzyme as it makes its way through the cellular trafficking pathway shown in Figure 2. Interestingly, there are compounds that can bind both to the synthase and to the </w:t>
      </w:r>
      <w:r w:rsidRPr="0092322E">
        <w:rPr>
          <w:rFonts w:ascii="Symbol" w:hAnsi="Symbol"/>
          <w:sz w:val="20"/>
        </w:rPr>
        <w:t>b</w:t>
      </w:r>
      <w:r>
        <w:rPr>
          <w:sz w:val="20"/>
        </w:rPr>
        <w:t>-glucosidase, using a single molecule that employs both SRT and CMT strategies.</w:t>
      </w:r>
    </w:p>
    <w:p w14:paraId="5482D8EC" w14:textId="77777777" w:rsidR="000F3E8E" w:rsidRDefault="000F3E8E" w:rsidP="006D1AF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0CC6BD6" w14:textId="77777777" w:rsidR="00F345FB" w:rsidRDefault="00F345FB" w:rsidP="006D1AF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E2CD7C3" w14:textId="04F73C08" w:rsidR="003D3F1C" w:rsidRDefault="004D675C" w:rsidP="006D1AF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4"/>
        </w:rPr>
      </w:pPr>
      <w:r>
        <w:tab/>
      </w:r>
      <w:r w:rsidR="008C3FE5">
        <w:t xml:space="preserve">The design and synthesis of drugs, small organic molecules that are able to bind to either the synthase or the </w:t>
      </w:r>
      <w:r w:rsidR="008478F9" w:rsidRPr="008C3FE5">
        <w:rPr>
          <w:rFonts w:ascii="Symbol" w:hAnsi="Symbol"/>
          <w:szCs w:val="24"/>
        </w:rPr>
        <w:t>b</w:t>
      </w:r>
      <w:r w:rsidR="008478F9">
        <w:t>-</w:t>
      </w:r>
      <w:r w:rsidR="008C3FE5">
        <w:t xml:space="preserve">glucosidase </w:t>
      </w:r>
      <w:r w:rsidR="008478F9">
        <w:t xml:space="preserve">enzymes </w:t>
      </w:r>
      <w:r w:rsidR="008C3FE5">
        <w:t>(or both)</w:t>
      </w:r>
      <w:r w:rsidR="00040B2E">
        <w:t>,</w:t>
      </w:r>
      <w:r w:rsidR="008C3FE5">
        <w:t xml:space="preserve"> involves an understanding of the mechanisms of both enzymes. The mechanism of the </w:t>
      </w:r>
      <w:r w:rsidR="008C3FE5" w:rsidRPr="008C3FE5">
        <w:rPr>
          <w:rFonts w:ascii="Symbol" w:hAnsi="Symbol"/>
          <w:szCs w:val="24"/>
        </w:rPr>
        <w:t>b</w:t>
      </w:r>
      <w:r w:rsidR="008C3FE5">
        <w:t>-glucosidase enzyme is shown in Figure 4</w:t>
      </w:r>
      <w:r w:rsidR="00ED6436">
        <w:t xml:space="preserve">. </w:t>
      </w:r>
      <w:r w:rsidR="008C3FE5">
        <w:t xml:space="preserve">The role of the enzyme is to catalyze the hydrolysis of the substrate </w:t>
      </w:r>
      <w:r w:rsidR="008C3FE5" w:rsidRPr="005002E0">
        <w:rPr>
          <w:smallCaps/>
        </w:rPr>
        <w:t>d</w:t>
      </w:r>
      <w:r w:rsidR="008C3FE5">
        <w:t>-glucosyl-</w:t>
      </w:r>
      <w:r w:rsidR="008C3FE5" w:rsidRPr="00EC57EF">
        <w:rPr>
          <w:i/>
          <w:iCs/>
        </w:rPr>
        <w:t>N</w:t>
      </w:r>
      <w:r w:rsidR="008C3FE5">
        <w:t xml:space="preserve">-acylsphingosine to yield glucose and </w:t>
      </w:r>
      <w:r w:rsidR="008C3FE5" w:rsidRPr="00EC57EF">
        <w:rPr>
          <w:i/>
          <w:iCs/>
        </w:rPr>
        <w:t>N</w:t>
      </w:r>
      <w:r w:rsidR="008C3FE5">
        <w:t>-</w:t>
      </w:r>
      <w:r w:rsidR="00ED6436">
        <w:t>acyl sphingosine</w:t>
      </w:r>
      <w:r w:rsidR="008C3FE5">
        <w:t xml:space="preserve"> (ceramide)</w:t>
      </w:r>
      <w:r w:rsidR="00EB25EA">
        <w:t>.</w:t>
      </w:r>
      <w:r w:rsidR="00DC3882">
        <w:t xml:space="preserve"> (Various mechanisms have been proposed, but the mechanism shown in Figure 4, which proceeds via an oxocarbenium ion, is supported with structural data.)</w:t>
      </w:r>
      <w:r w:rsidR="00EB25EA">
        <w:t xml:space="preserve"> </w:t>
      </w:r>
      <w:r w:rsidR="0092322E">
        <w:t xml:space="preserve">When the newly synthesized </w:t>
      </w:r>
      <w:r w:rsidR="008C3FE5" w:rsidRPr="008C3FE5">
        <w:rPr>
          <w:rFonts w:ascii="Symbol" w:hAnsi="Symbol"/>
          <w:szCs w:val="24"/>
        </w:rPr>
        <w:t>b</w:t>
      </w:r>
      <w:r w:rsidR="008C3FE5">
        <w:t xml:space="preserve">-glucosidase arrives in the acidic lysosome, the enzyme becomes tightly associated with the </w:t>
      </w:r>
      <w:r w:rsidR="00B67E48">
        <w:t>lysosomal membrane</w:t>
      </w:r>
      <w:r w:rsidR="00EB25EA">
        <w:t xml:space="preserve">. </w:t>
      </w:r>
      <w:r w:rsidR="00AD5317" w:rsidRPr="00AD5317">
        <w:rPr>
          <w:szCs w:val="24"/>
        </w:rPr>
        <w:t xml:space="preserve">The </w:t>
      </w:r>
      <w:r w:rsidR="008C3FE5" w:rsidRPr="008C3FE5">
        <w:rPr>
          <w:rFonts w:ascii="Symbol" w:hAnsi="Symbol"/>
          <w:szCs w:val="24"/>
        </w:rPr>
        <w:t>b</w:t>
      </w:r>
      <w:r w:rsidR="008C3FE5">
        <w:rPr>
          <w:szCs w:val="24"/>
        </w:rPr>
        <w:t>-</w:t>
      </w:r>
      <w:r w:rsidR="00AD5317" w:rsidRPr="00AD5317">
        <w:rPr>
          <w:szCs w:val="24"/>
        </w:rPr>
        <w:t>glucosidase enzyme has two Glu residues in its active site, Glu</w:t>
      </w:r>
      <w:r w:rsidR="00AD5317" w:rsidRPr="00AD5317">
        <w:rPr>
          <w:szCs w:val="24"/>
          <w:vertAlign w:val="superscript"/>
        </w:rPr>
        <w:t>235</w:t>
      </w:r>
      <w:r w:rsidR="00AD5317" w:rsidRPr="00AD5317">
        <w:rPr>
          <w:szCs w:val="24"/>
        </w:rPr>
        <w:t xml:space="preserve"> and Glu</w:t>
      </w:r>
      <w:r w:rsidR="00AD5317" w:rsidRPr="00AD5317">
        <w:rPr>
          <w:szCs w:val="24"/>
          <w:vertAlign w:val="superscript"/>
        </w:rPr>
        <w:t>340</w:t>
      </w:r>
      <w:r w:rsidR="00BF2670">
        <w:rPr>
          <w:szCs w:val="24"/>
        </w:rPr>
        <w:t xml:space="preserve"> (shown in blue in the figure)</w:t>
      </w:r>
      <w:r w:rsidR="00EB25EA" w:rsidRPr="00AD5317">
        <w:rPr>
          <w:szCs w:val="24"/>
        </w:rPr>
        <w:t xml:space="preserve">. </w:t>
      </w:r>
      <w:r w:rsidR="00AD5317" w:rsidRPr="00AD5317">
        <w:rPr>
          <w:szCs w:val="24"/>
        </w:rPr>
        <w:t>The catalytic cycle</w:t>
      </w:r>
      <w:r w:rsidR="003D3F1C">
        <w:rPr>
          <w:szCs w:val="24"/>
        </w:rPr>
        <w:t xml:space="preserve"> </w:t>
      </w:r>
      <w:r w:rsidR="00AD5317" w:rsidRPr="00AD5317">
        <w:rPr>
          <w:szCs w:val="24"/>
        </w:rPr>
        <w:t xml:space="preserve">begins when the </w:t>
      </w:r>
      <w:r w:rsidR="00AD5317" w:rsidRPr="00AD5317">
        <w:rPr>
          <w:i/>
          <w:szCs w:val="24"/>
        </w:rPr>
        <w:t>O</w:t>
      </w:r>
      <w:r w:rsidR="00AD5317" w:rsidRPr="00AD5317">
        <w:rPr>
          <w:szCs w:val="24"/>
        </w:rPr>
        <w:t xml:space="preserve">-glycosidic bond in the </w:t>
      </w:r>
      <w:r w:rsidR="00AD5317" w:rsidRPr="00AD5317">
        <w:rPr>
          <w:smallCaps/>
        </w:rPr>
        <w:t>d</w:t>
      </w:r>
      <w:r w:rsidR="00AD5317" w:rsidRPr="00AD5317">
        <w:rPr>
          <w:szCs w:val="24"/>
        </w:rPr>
        <w:t>-glucosyl-</w:t>
      </w:r>
      <w:r w:rsidR="00AD5317" w:rsidRPr="00AD5317">
        <w:rPr>
          <w:i/>
          <w:iCs/>
          <w:szCs w:val="24"/>
        </w:rPr>
        <w:t>N</w:t>
      </w:r>
      <w:r w:rsidR="00AD5317" w:rsidRPr="00AD5317">
        <w:rPr>
          <w:szCs w:val="24"/>
        </w:rPr>
        <w:t xml:space="preserve">-acylsphingosine substrate </w:t>
      </w:r>
      <w:r w:rsidR="00A934D0">
        <w:rPr>
          <w:szCs w:val="24"/>
        </w:rPr>
        <w:t xml:space="preserve">(shown </w:t>
      </w:r>
      <w:r w:rsidR="00BF2670">
        <w:rPr>
          <w:szCs w:val="24"/>
        </w:rPr>
        <w:t xml:space="preserve">as Step 1 </w:t>
      </w:r>
      <w:r w:rsidR="00A934D0">
        <w:rPr>
          <w:szCs w:val="24"/>
        </w:rPr>
        <w:t xml:space="preserve">in Fig. </w:t>
      </w:r>
      <w:r w:rsidR="008478F9">
        <w:rPr>
          <w:szCs w:val="24"/>
        </w:rPr>
        <w:t>1</w:t>
      </w:r>
      <w:r w:rsidR="00A934D0">
        <w:rPr>
          <w:szCs w:val="24"/>
        </w:rPr>
        <w:t xml:space="preserve">) </w:t>
      </w:r>
      <w:r w:rsidR="00AD5317" w:rsidRPr="00AD5317">
        <w:rPr>
          <w:szCs w:val="24"/>
        </w:rPr>
        <w:t>is first protonated by the Glu</w:t>
      </w:r>
      <w:r w:rsidR="00AD5317" w:rsidRPr="00AD5317">
        <w:rPr>
          <w:szCs w:val="24"/>
          <w:vertAlign w:val="superscript"/>
        </w:rPr>
        <w:t>235</w:t>
      </w:r>
      <w:r w:rsidR="00AD5317" w:rsidRPr="00AD5317">
        <w:rPr>
          <w:szCs w:val="24"/>
        </w:rPr>
        <w:t xml:space="preserve"> residue</w:t>
      </w:r>
      <w:r w:rsidR="00BF2670">
        <w:rPr>
          <w:szCs w:val="24"/>
        </w:rPr>
        <w:t xml:space="preserve">, forming the oxocarbenium ion and liberating the ceramide, the first product. The oxocarbenium ion (with its oxygen shown in red) </w:t>
      </w:r>
      <w:r w:rsidR="00AD5317" w:rsidRPr="00AD5317">
        <w:rPr>
          <w:szCs w:val="24"/>
        </w:rPr>
        <w:t>is nucleophilically attacked by Glu</w:t>
      </w:r>
      <w:r w:rsidR="00AD5317" w:rsidRPr="00AD5317">
        <w:rPr>
          <w:szCs w:val="24"/>
          <w:vertAlign w:val="superscript"/>
        </w:rPr>
        <w:t>340</w:t>
      </w:r>
      <w:r w:rsidR="00ED6436" w:rsidRPr="00AD5317">
        <w:rPr>
          <w:szCs w:val="24"/>
        </w:rPr>
        <w:t xml:space="preserve">. </w:t>
      </w:r>
      <w:r w:rsidR="00AD5317" w:rsidRPr="00AD5317">
        <w:rPr>
          <w:szCs w:val="24"/>
        </w:rPr>
        <w:t>Glucose becomes covalently attached</w:t>
      </w:r>
      <w:r w:rsidR="00202247">
        <w:rPr>
          <w:szCs w:val="24"/>
        </w:rPr>
        <w:t xml:space="preserve"> to the enzyme</w:t>
      </w:r>
      <w:r w:rsidR="00BF2670">
        <w:rPr>
          <w:szCs w:val="24"/>
        </w:rPr>
        <w:t xml:space="preserve"> (Step 2)</w:t>
      </w:r>
      <w:r w:rsidR="002700FB" w:rsidRPr="00AD5317">
        <w:rPr>
          <w:szCs w:val="24"/>
        </w:rPr>
        <w:t xml:space="preserve">. </w:t>
      </w:r>
      <w:r w:rsidR="00E07988">
        <w:rPr>
          <w:szCs w:val="24"/>
        </w:rPr>
        <w:t xml:space="preserve">In Step 3, </w:t>
      </w:r>
      <w:r w:rsidR="00AD5317" w:rsidRPr="00AD5317">
        <w:rPr>
          <w:szCs w:val="24"/>
        </w:rPr>
        <w:t>Glu</w:t>
      </w:r>
      <w:r w:rsidR="00AD5317" w:rsidRPr="00AD5317">
        <w:rPr>
          <w:szCs w:val="24"/>
          <w:vertAlign w:val="superscript"/>
        </w:rPr>
        <w:t>235</w:t>
      </w:r>
      <w:r w:rsidR="00AD5317" w:rsidRPr="00AD5317">
        <w:rPr>
          <w:szCs w:val="24"/>
        </w:rPr>
        <w:t xml:space="preserve"> removes a proton from a water molecule, </w:t>
      </w:r>
      <w:r w:rsidR="00202247">
        <w:rPr>
          <w:szCs w:val="24"/>
        </w:rPr>
        <w:t>and the resulting hydroxide ion</w:t>
      </w:r>
      <w:r w:rsidR="00AD5317" w:rsidRPr="00AD5317">
        <w:rPr>
          <w:szCs w:val="24"/>
        </w:rPr>
        <w:t xml:space="preserve"> nucleophilically attacks the glucose-enzyme complex, liberating </w:t>
      </w:r>
      <w:r w:rsidR="00AD5317" w:rsidRPr="00AD5317">
        <w:rPr>
          <w:rFonts w:ascii="Symbol" w:hAnsi="Symbol"/>
          <w:szCs w:val="24"/>
        </w:rPr>
        <w:t>b</w:t>
      </w:r>
      <w:r w:rsidR="00AD5317" w:rsidRPr="00AD5317">
        <w:rPr>
          <w:szCs w:val="24"/>
        </w:rPr>
        <w:t>-glucose</w:t>
      </w:r>
      <w:r w:rsidR="00202247">
        <w:rPr>
          <w:szCs w:val="24"/>
        </w:rPr>
        <w:t>, the second</w:t>
      </w:r>
      <w:r w:rsidR="00AD5317" w:rsidRPr="00AD5317">
        <w:rPr>
          <w:szCs w:val="24"/>
        </w:rPr>
        <w:t xml:space="preserve"> product</w:t>
      </w:r>
      <w:r w:rsidR="00E07988">
        <w:rPr>
          <w:szCs w:val="24"/>
        </w:rPr>
        <w:t>, in Step 4</w:t>
      </w:r>
      <w:r w:rsidR="00ED6436" w:rsidRPr="00AD5317">
        <w:rPr>
          <w:szCs w:val="24"/>
        </w:rPr>
        <w:t>.</w:t>
      </w:r>
      <w:r w:rsidR="00ED6436">
        <w:rPr>
          <w:szCs w:val="24"/>
        </w:rPr>
        <w:t xml:space="preserve"> </w:t>
      </w:r>
      <w:r w:rsidR="00AD5317">
        <w:rPr>
          <w:szCs w:val="24"/>
        </w:rPr>
        <w:t>Catalytic activity is enhanced when the enzyme is associated with the negatively charged phospholipids of the lysosomal membrane.</w:t>
      </w:r>
      <w:r w:rsidR="003D3F1C">
        <w:rPr>
          <w:szCs w:val="24"/>
        </w:rPr>
        <w:br w:type="page"/>
      </w:r>
    </w:p>
    <w:p w14:paraId="1285F3D6" w14:textId="77777777" w:rsidR="003A168F" w:rsidRDefault="003A168F" w:rsidP="003A168F">
      <w:pPr>
        <w:rPr>
          <w:szCs w:val="24"/>
        </w:rPr>
      </w:pPr>
      <w:r>
        <w:rPr>
          <w:noProof/>
        </w:rPr>
        <w:lastRenderedPageBreak/>
        <w:drawing>
          <wp:anchor distT="0" distB="0" distL="114300" distR="114300" simplePos="0" relativeHeight="251698176" behindDoc="0" locked="0" layoutInCell="1" allowOverlap="1" wp14:anchorId="5258D2B8" wp14:editId="3498CC30">
            <wp:simplePos x="0" y="0"/>
            <wp:positionH relativeFrom="margin">
              <wp:posOffset>-25515</wp:posOffset>
            </wp:positionH>
            <wp:positionV relativeFrom="paragraph">
              <wp:posOffset>6320039</wp:posOffset>
            </wp:positionV>
            <wp:extent cx="2849880" cy="1445895"/>
            <wp:effectExtent l="0" t="0" r="7620" b="1905"/>
            <wp:wrapSquare wrapText="bothSides"/>
            <wp:docPr id="305298078" name="Picture 1"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98078" name="Picture 1" descr="A structure of a chemical formula&#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49880" cy="1445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4DE2421" wp14:editId="391CE5E6">
            <wp:simplePos x="0" y="0"/>
            <wp:positionH relativeFrom="margin">
              <wp:posOffset>1421130</wp:posOffset>
            </wp:positionH>
            <wp:positionV relativeFrom="paragraph">
              <wp:posOffset>10160</wp:posOffset>
            </wp:positionV>
            <wp:extent cx="4305935" cy="7259320"/>
            <wp:effectExtent l="0" t="0" r="0" b="0"/>
            <wp:wrapSquare wrapText="bothSides"/>
            <wp:docPr id="71891669" name="Picture 1"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1669" name="Picture 1" descr="A diagram of chemical formula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05935" cy="7259320"/>
                    </a:xfrm>
                    <a:prstGeom prst="rect">
                      <a:avLst/>
                    </a:prstGeom>
                  </pic:spPr>
                </pic:pic>
              </a:graphicData>
            </a:graphic>
            <wp14:sizeRelH relativeFrom="page">
              <wp14:pctWidth>0</wp14:pctWidth>
            </wp14:sizeRelH>
            <wp14:sizeRelV relativeFrom="page">
              <wp14:pctHeight>0</wp14:pctHeight>
            </wp14:sizeRelV>
          </wp:anchor>
        </w:drawing>
      </w:r>
      <w:r>
        <w:rPr>
          <w:szCs w:val="24"/>
        </w:rPr>
        <w:br w:type="page"/>
      </w:r>
    </w:p>
    <w:p w14:paraId="37E80374" w14:textId="77777777" w:rsidR="003A168F" w:rsidRDefault="003A168F" w:rsidP="003A168F">
      <w:pPr>
        <w:rPr>
          <w:szCs w:val="24"/>
        </w:rPr>
      </w:pPr>
    </w:p>
    <w:p w14:paraId="5AD94125" w14:textId="77777777" w:rsidR="003A168F" w:rsidRDefault="003A168F" w:rsidP="003A168F">
      <w:pPr>
        <w:rPr>
          <w:szCs w:val="24"/>
        </w:rPr>
      </w:pPr>
      <w:r>
        <w:rPr>
          <w:noProof/>
        </w:rPr>
        <w:drawing>
          <wp:anchor distT="0" distB="0" distL="114300" distR="114300" simplePos="0" relativeHeight="251699200" behindDoc="0" locked="0" layoutInCell="1" allowOverlap="1" wp14:anchorId="24AC6F37" wp14:editId="06334F79">
            <wp:simplePos x="0" y="0"/>
            <wp:positionH relativeFrom="column">
              <wp:posOffset>955675</wp:posOffset>
            </wp:positionH>
            <wp:positionV relativeFrom="paragraph">
              <wp:posOffset>17837</wp:posOffset>
            </wp:positionV>
            <wp:extent cx="4521835" cy="5403215"/>
            <wp:effectExtent l="0" t="0" r="0" b="6985"/>
            <wp:wrapSquare wrapText="bothSides"/>
            <wp:docPr id="722611934" name="Picture 1"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11934" name="Picture 1" descr="A diagram of a chemical structure&#10;&#10;Description automatically generated"/>
                    <pic:cNvPicPr/>
                  </pic:nvPicPr>
                  <pic:blipFill rotWithShape="1">
                    <a:blip r:embed="rId15">
                      <a:extLst>
                        <a:ext uri="{28A0092B-C50C-407E-A947-70E740481C1C}">
                          <a14:useLocalDpi xmlns:a14="http://schemas.microsoft.com/office/drawing/2010/main" val="0"/>
                        </a:ext>
                      </a:extLst>
                    </a:blip>
                    <a:srcRect l="10261" t="7609" r="5161" b="4058"/>
                    <a:stretch/>
                  </pic:blipFill>
                  <pic:spPr bwMode="auto">
                    <a:xfrm>
                      <a:off x="0" y="0"/>
                      <a:ext cx="4521835" cy="540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517A2" w14:textId="77777777" w:rsidR="003A168F" w:rsidRDefault="003A168F" w:rsidP="003A168F">
      <w:pPr>
        <w:rPr>
          <w:szCs w:val="24"/>
        </w:rPr>
      </w:pPr>
    </w:p>
    <w:p w14:paraId="678890F8" w14:textId="77777777" w:rsidR="003A168F" w:rsidRDefault="003A168F" w:rsidP="003A168F">
      <w:pPr>
        <w:rPr>
          <w:szCs w:val="24"/>
        </w:rPr>
      </w:pPr>
    </w:p>
    <w:p w14:paraId="7D2E623E" w14:textId="77777777" w:rsidR="003A168F" w:rsidRDefault="003A168F" w:rsidP="003A168F">
      <w:pPr>
        <w:rPr>
          <w:szCs w:val="24"/>
        </w:rPr>
      </w:pPr>
    </w:p>
    <w:p w14:paraId="777BD0CB" w14:textId="77777777" w:rsidR="003A168F" w:rsidRDefault="003A168F" w:rsidP="003A168F">
      <w:pPr>
        <w:rPr>
          <w:szCs w:val="24"/>
        </w:rPr>
      </w:pPr>
    </w:p>
    <w:p w14:paraId="6405E7B7" w14:textId="77777777" w:rsidR="003A168F" w:rsidRDefault="003A168F" w:rsidP="003A168F">
      <w:pPr>
        <w:rPr>
          <w:szCs w:val="24"/>
        </w:rPr>
      </w:pPr>
    </w:p>
    <w:p w14:paraId="51974DF1" w14:textId="77777777" w:rsidR="003A168F" w:rsidRDefault="003A168F" w:rsidP="003A168F">
      <w:pPr>
        <w:rPr>
          <w:szCs w:val="24"/>
        </w:rPr>
      </w:pPr>
    </w:p>
    <w:p w14:paraId="3495F70F" w14:textId="77777777" w:rsidR="003A168F" w:rsidRDefault="003A168F" w:rsidP="003A168F">
      <w:pPr>
        <w:rPr>
          <w:szCs w:val="24"/>
        </w:rPr>
      </w:pPr>
    </w:p>
    <w:p w14:paraId="7833D27D" w14:textId="77777777" w:rsidR="003A168F" w:rsidRDefault="003A168F" w:rsidP="003A168F">
      <w:pPr>
        <w:rPr>
          <w:szCs w:val="24"/>
        </w:rPr>
      </w:pPr>
    </w:p>
    <w:p w14:paraId="771EEFA8" w14:textId="77777777" w:rsidR="003A168F" w:rsidRDefault="003A168F" w:rsidP="003A168F">
      <w:pPr>
        <w:rPr>
          <w:szCs w:val="24"/>
        </w:rPr>
      </w:pPr>
    </w:p>
    <w:p w14:paraId="78DCEFBF" w14:textId="77777777" w:rsidR="003A168F" w:rsidRDefault="003A168F" w:rsidP="003A168F">
      <w:pPr>
        <w:rPr>
          <w:szCs w:val="24"/>
        </w:rPr>
      </w:pPr>
    </w:p>
    <w:p w14:paraId="4EE66BFF" w14:textId="77777777" w:rsidR="003A168F" w:rsidRDefault="003A168F" w:rsidP="003A168F">
      <w:pPr>
        <w:rPr>
          <w:szCs w:val="24"/>
        </w:rPr>
      </w:pPr>
    </w:p>
    <w:p w14:paraId="78C9E7FB" w14:textId="77777777" w:rsidR="003A168F" w:rsidRDefault="003A168F" w:rsidP="003A168F">
      <w:pPr>
        <w:rPr>
          <w:szCs w:val="24"/>
        </w:rPr>
      </w:pPr>
    </w:p>
    <w:p w14:paraId="74D579EC" w14:textId="77777777" w:rsidR="003A168F" w:rsidRDefault="003A168F" w:rsidP="003A168F">
      <w:pPr>
        <w:rPr>
          <w:szCs w:val="24"/>
        </w:rPr>
      </w:pPr>
    </w:p>
    <w:p w14:paraId="3CB348BF" w14:textId="77777777" w:rsidR="003A168F" w:rsidRDefault="003A168F" w:rsidP="003A168F">
      <w:pPr>
        <w:rPr>
          <w:szCs w:val="24"/>
        </w:rPr>
      </w:pPr>
    </w:p>
    <w:p w14:paraId="44FAA486" w14:textId="77777777" w:rsidR="003A168F" w:rsidRDefault="003A168F" w:rsidP="003A168F">
      <w:pPr>
        <w:rPr>
          <w:szCs w:val="24"/>
        </w:rPr>
      </w:pPr>
    </w:p>
    <w:p w14:paraId="5E867A0D" w14:textId="77777777" w:rsidR="003A168F" w:rsidRDefault="003A168F" w:rsidP="003A168F">
      <w:pPr>
        <w:rPr>
          <w:szCs w:val="24"/>
        </w:rPr>
      </w:pPr>
    </w:p>
    <w:p w14:paraId="6805289A" w14:textId="77777777" w:rsidR="003A168F" w:rsidRDefault="003A168F" w:rsidP="003A168F">
      <w:pPr>
        <w:rPr>
          <w:szCs w:val="24"/>
        </w:rPr>
      </w:pPr>
    </w:p>
    <w:p w14:paraId="28F37AA8" w14:textId="77777777" w:rsidR="003A168F" w:rsidRDefault="003A168F" w:rsidP="003A168F">
      <w:pPr>
        <w:rPr>
          <w:szCs w:val="24"/>
        </w:rPr>
      </w:pPr>
    </w:p>
    <w:p w14:paraId="1FB5494A" w14:textId="77777777" w:rsidR="003A168F" w:rsidRDefault="003A168F" w:rsidP="003A168F">
      <w:pPr>
        <w:rPr>
          <w:szCs w:val="24"/>
        </w:rPr>
      </w:pPr>
    </w:p>
    <w:p w14:paraId="08C94F96" w14:textId="77777777" w:rsidR="003A168F" w:rsidRDefault="003A168F" w:rsidP="003A168F">
      <w:pPr>
        <w:rPr>
          <w:szCs w:val="24"/>
        </w:rPr>
      </w:pPr>
    </w:p>
    <w:p w14:paraId="2DFEEDB5" w14:textId="77777777" w:rsidR="003A168F" w:rsidRDefault="003A168F" w:rsidP="003A168F">
      <w:pPr>
        <w:rPr>
          <w:szCs w:val="24"/>
        </w:rPr>
      </w:pPr>
    </w:p>
    <w:p w14:paraId="27F205C8" w14:textId="77777777" w:rsidR="003A168F" w:rsidRDefault="003A168F" w:rsidP="003A168F">
      <w:pPr>
        <w:rPr>
          <w:szCs w:val="24"/>
        </w:rPr>
      </w:pPr>
    </w:p>
    <w:p w14:paraId="0AD49902" w14:textId="77777777" w:rsidR="003A168F" w:rsidRDefault="003A168F" w:rsidP="003A168F">
      <w:pPr>
        <w:rPr>
          <w:szCs w:val="24"/>
        </w:rPr>
      </w:pPr>
    </w:p>
    <w:p w14:paraId="18FEA2EB" w14:textId="77777777" w:rsidR="003A168F" w:rsidRDefault="003A168F" w:rsidP="003A168F">
      <w:pPr>
        <w:rPr>
          <w:szCs w:val="24"/>
        </w:rPr>
      </w:pPr>
    </w:p>
    <w:p w14:paraId="7BBCC5E4" w14:textId="77777777" w:rsidR="003A168F" w:rsidRDefault="003A168F" w:rsidP="003A168F">
      <w:pPr>
        <w:rPr>
          <w:szCs w:val="24"/>
        </w:rPr>
      </w:pPr>
    </w:p>
    <w:p w14:paraId="1400C8B2" w14:textId="77777777" w:rsidR="003A168F" w:rsidRDefault="003A168F" w:rsidP="003A168F">
      <w:pPr>
        <w:rPr>
          <w:szCs w:val="24"/>
        </w:rPr>
      </w:pPr>
    </w:p>
    <w:p w14:paraId="7D201AB8" w14:textId="77777777" w:rsidR="003A168F" w:rsidRDefault="003A168F" w:rsidP="003A168F">
      <w:pPr>
        <w:rPr>
          <w:szCs w:val="24"/>
        </w:rPr>
      </w:pPr>
    </w:p>
    <w:p w14:paraId="53ADFEAD" w14:textId="77777777" w:rsidR="003A168F" w:rsidRDefault="003A168F" w:rsidP="003A168F">
      <w:pPr>
        <w:rPr>
          <w:szCs w:val="24"/>
        </w:rPr>
      </w:pPr>
    </w:p>
    <w:p w14:paraId="55101A2C" w14:textId="77777777" w:rsidR="003A168F" w:rsidRDefault="003A168F" w:rsidP="003A168F">
      <w:pPr>
        <w:rPr>
          <w:szCs w:val="24"/>
        </w:rPr>
      </w:pPr>
    </w:p>
    <w:p w14:paraId="65C8F654" w14:textId="77777777" w:rsidR="003A168F" w:rsidRDefault="003A168F" w:rsidP="003A168F">
      <w:pPr>
        <w:rPr>
          <w:szCs w:val="24"/>
        </w:rPr>
      </w:pPr>
    </w:p>
    <w:p w14:paraId="699EE761" w14:textId="77777777" w:rsidR="003A168F" w:rsidRDefault="003A168F" w:rsidP="003A168F">
      <w:pPr>
        <w:rPr>
          <w:szCs w:val="24"/>
        </w:rPr>
      </w:pPr>
    </w:p>
    <w:p w14:paraId="101F5F8A" w14:textId="77777777" w:rsidR="003A168F" w:rsidRDefault="003A168F" w:rsidP="003A168F">
      <w:pPr>
        <w:rPr>
          <w:szCs w:val="24"/>
        </w:rPr>
      </w:pPr>
    </w:p>
    <w:p w14:paraId="1EA0E8CF" w14:textId="77777777" w:rsidR="003A168F" w:rsidRDefault="003A168F" w:rsidP="003A168F">
      <w:pPr>
        <w:rPr>
          <w:szCs w:val="24"/>
        </w:rPr>
      </w:pPr>
    </w:p>
    <w:p w14:paraId="1E0FFF1B" w14:textId="77777777" w:rsidR="003A168F" w:rsidRDefault="003A168F" w:rsidP="003A168F">
      <w:pPr>
        <w:rPr>
          <w:szCs w:val="24"/>
        </w:rPr>
      </w:pPr>
    </w:p>
    <w:p w14:paraId="66BA613C" w14:textId="77777777" w:rsidR="003A168F" w:rsidRDefault="003A168F" w:rsidP="003A168F">
      <w:pPr>
        <w:rPr>
          <w:szCs w:val="24"/>
        </w:rPr>
      </w:pPr>
      <w:r>
        <w:rPr>
          <w:noProof/>
        </w:rPr>
        <mc:AlternateContent>
          <mc:Choice Requires="wps">
            <w:drawing>
              <wp:anchor distT="45720" distB="45720" distL="114300" distR="114300" simplePos="0" relativeHeight="251697152" behindDoc="0" locked="0" layoutInCell="1" allowOverlap="1" wp14:anchorId="797C9B29" wp14:editId="3C597BAA">
                <wp:simplePos x="0" y="0"/>
                <wp:positionH relativeFrom="margin">
                  <wp:align>left</wp:align>
                </wp:positionH>
                <wp:positionV relativeFrom="paragraph">
                  <wp:posOffset>213409</wp:posOffset>
                </wp:positionV>
                <wp:extent cx="6525260" cy="68961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260" cy="689610"/>
                        </a:xfrm>
                        <a:prstGeom prst="rect">
                          <a:avLst/>
                        </a:prstGeom>
                        <a:solidFill>
                          <a:srgbClr val="FFFFFF"/>
                        </a:solidFill>
                        <a:ln w="9525">
                          <a:noFill/>
                          <a:miter lim="800000"/>
                          <a:headEnd/>
                          <a:tailEnd/>
                        </a:ln>
                      </wps:spPr>
                      <wps:txbx>
                        <w:txbxContent>
                          <w:p w14:paraId="0209E090" w14:textId="77777777" w:rsidR="003A168F" w:rsidRPr="003D3F1C" w:rsidRDefault="003A168F" w:rsidP="003A168F">
                            <w:pPr>
                              <w:rPr>
                                <w:sz w:val="20"/>
                              </w:rPr>
                            </w:pPr>
                            <w:r w:rsidRPr="003D3F1C">
                              <w:rPr>
                                <w:rFonts w:ascii="Arial" w:hAnsi="Arial" w:cs="Arial"/>
                                <w:b/>
                                <w:bCs/>
                                <w:sz w:val="20"/>
                              </w:rPr>
                              <w:t xml:space="preserve">Figure </w:t>
                            </w:r>
                            <w:r>
                              <w:rPr>
                                <w:rFonts w:ascii="Arial" w:hAnsi="Arial" w:cs="Arial"/>
                                <w:b/>
                                <w:bCs/>
                                <w:sz w:val="20"/>
                              </w:rPr>
                              <w:t>4</w:t>
                            </w:r>
                            <w:r w:rsidRPr="003D3F1C">
                              <w:rPr>
                                <w:sz w:val="20"/>
                              </w:rPr>
                              <w:t xml:space="preserve">: The catalytic mechanism of acid </w:t>
                            </w:r>
                            <w:r w:rsidRPr="00D7731C">
                              <w:rPr>
                                <w:rFonts w:ascii="Symbol" w:hAnsi="Symbol"/>
                                <w:sz w:val="20"/>
                              </w:rPr>
                              <w:t>b</w:t>
                            </w:r>
                            <w:r w:rsidRPr="003D3F1C">
                              <w:rPr>
                                <w:sz w:val="20"/>
                              </w:rPr>
                              <w:t>-glucosidase proposed by Brumshtein, et al.</w:t>
                            </w:r>
                            <w:r>
                              <w:rPr>
                                <w:sz w:val="20"/>
                              </w:rPr>
                              <w:t xml:space="preserve"> The ceramide moiety is designated as an R group (</w:t>
                            </w:r>
                            <w:r w:rsidRPr="003D3F1C">
                              <w:rPr>
                                <w:i/>
                                <w:iCs/>
                                <w:sz w:val="20"/>
                              </w:rPr>
                              <w:t>inset</w:t>
                            </w:r>
                            <w:r>
                              <w:rPr>
                                <w:i/>
                                <w:iCs/>
                                <w:sz w:val="20"/>
                              </w:rPr>
                              <w:t xml:space="preserve">, </w:t>
                            </w:r>
                            <w:r w:rsidRPr="00BF2670">
                              <w:rPr>
                                <w:sz w:val="20"/>
                              </w:rPr>
                              <w:t>shown in magenta</w:t>
                            </w:r>
                            <w:r>
                              <w:rPr>
                                <w:sz w:val="20"/>
                              </w:rPr>
                              <w:t>). Active site Glu residues are shown in blue. The substrate is shown in black, with oxygens participating in the mechanism shown in 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797C9B29" id="_x0000_t202" coordsize="21600,21600" o:spt="202" path="m,l,21600r21600,l21600,xe">
                <v:stroke joinstyle="miter"/>
                <v:path gradientshapeok="t" o:connecttype="rect"/>
              </v:shapetype>
              <v:shape id="Text Box 2" o:spid="_x0000_s1026" type="#_x0000_t202" style="position:absolute;margin-left:0;margin-top:16.8pt;width:513.8pt;height:54.3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9JEAIAAP0DAAAOAAAAZHJzL2Uyb0RvYy54bWysU8Fu2zAMvQ/YPwi6L06MJGuMOEWXLsOA&#10;rhvQ7QNkWY6FyaJGKbGzrx8lp2nQ3YbpIIgi+UQ+Pq1vh86wo0KvwZZ8NplypqyEWtt9yX983727&#10;4cwHYWthwKqSn5Tnt5u3b9a9K1QOLZhaISMQ64velbwNwRVZ5mWrOuEn4JQlZwPYiUAm7rMaRU/o&#10;ncny6XSZ9YC1Q5DKe7q9H518k/CbRsnwtWm8CsyUnGoLace0V3HPNmtR7FG4VstzGeIfquiEtvTo&#10;BepeBMEOqP+C6rRE8NCEiYQug6bRUqUeqJvZ9FU3T61wKvVC5Hh3ocn/P1j5eHxy35CF4QMMNMDU&#10;hHcPIH96ZmHbCrtXd4jQt0rU9PAsUpb1zhfn1Ei1L3wEqfovUNOQxSFAAhoa7CIr1CcjdBrA6UK6&#10;GgKTdLlc5It8SS5JvuXNajlLU8lE8Zzt0IdPCjoWDyVHGmpCF8cHH2I1ongOiY95MLreaWOSgftq&#10;a5AdBQlgl1Zq4FWYsawv+YpKScgWYn7SRqcDCdToruQ307hGyUQ2Pto6hQShzXimSow90xMZGbkJ&#10;QzUwXZc8j7mRrQrqE/GFMOqR/g8dWsDfnPWkxZL7XweBijPz2RLnq9l8HsWbjPnifU4GXnuqa4+w&#10;kqBKHjgbj9uQBB/psHBHs2l0ou2lknPJpLHE5vk/RBFf2ynq5ddu/gAAAP//AwBQSwMEFAAGAAgA&#10;AAAhADDAqm7cAAAACAEAAA8AAABkcnMvZG93bnJldi54bWxMj0FPg0AQhe8m/ofNmHhp7CKtoMjS&#10;qImN19b+gAGmQGRnCbst9N87PentTd7Lm+/lm9n26kyj7xwbeFxGoIgrV3fcGDh8fz48g/IBucbe&#10;MRm4kIdNcXuTY1a7iXd03odGSQn7DA20IQyZ1r5qyaJfuoFYvKMbLQY5x0bXI05SbnsdR1GiLXYs&#10;H1oc6KOl6md/sgaOX9Pi6WUqt+GQ7tbJO3Zp6S7G3N/Nb6+gAs3hLwxXfEGHQphKd+Laq96ADAkG&#10;VqsE1NWN4lRUKWodx6CLXP8fUPwCAAD//wMAUEsBAi0AFAAGAAgAAAAhALaDOJL+AAAA4QEAABMA&#10;AAAAAAAAAAAAAAAAAAAAAFtDb250ZW50X1R5cGVzXS54bWxQSwECLQAUAAYACAAAACEAOP0h/9YA&#10;AACUAQAACwAAAAAAAAAAAAAAAAAvAQAAX3JlbHMvLnJlbHNQSwECLQAUAAYACAAAACEAeiQ/SRAC&#10;AAD9AwAADgAAAAAAAAAAAAAAAAAuAgAAZHJzL2Uyb0RvYy54bWxQSwECLQAUAAYACAAAACEAMMCq&#10;btwAAAAIAQAADwAAAAAAAAAAAAAAAABqBAAAZHJzL2Rvd25yZXYueG1sUEsFBgAAAAAEAAQA8wAA&#10;AHMFAAAAAA==&#10;" stroked="f">
                <v:textbox>
                  <w:txbxContent>
                    <w:p w14:paraId="0209E090" w14:textId="77777777" w:rsidR="003A168F" w:rsidRPr="003D3F1C" w:rsidRDefault="003A168F" w:rsidP="003A168F">
                      <w:pPr>
                        <w:rPr>
                          <w:sz w:val="20"/>
                        </w:rPr>
                      </w:pPr>
                      <w:r w:rsidRPr="003D3F1C">
                        <w:rPr>
                          <w:rFonts w:ascii="Arial" w:hAnsi="Arial" w:cs="Arial"/>
                          <w:b/>
                          <w:bCs/>
                          <w:sz w:val="20"/>
                        </w:rPr>
                        <w:t xml:space="preserve">Figure </w:t>
                      </w:r>
                      <w:r>
                        <w:rPr>
                          <w:rFonts w:ascii="Arial" w:hAnsi="Arial" w:cs="Arial"/>
                          <w:b/>
                          <w:bCs/>
                          <w:sz w:val="20"/>
                        </w:rPr>
                        <w:t>4</w:t>
                      </w:r>
                      <w:r w:rsidRPr="003D3F1C">
                        <w:rPr>
                          <w:sz w:val="20"/>
                        </w:rPr>
                        <w:t xml:space="preserve">: The catalytic mechanism of acid </w:t>
                      </w:r>
                      <w:r w:rsidRPr="00D7731C">
                        <w:rPr>
                          <w:rFonts w:ascii="Symbol" w:hAnsi="Symbol"/>
                          <w:sz w:val="20"/>
                        </w:rPr>
                        <w:t>b</w:t>
                      </w:r>
                      <w:r w:rsidRPr="003D3F1C">
                        <w:rPr>
                          <w:sz w:val="20"/>
                        </w:rPr>
                        <w:t>-glucosidase proposed by Brumshtein, et al.</w:t>
                      </w:r>
                      <w:r>
                        <w:rPr>
                          <w:sz w:val="20"/>
                        </w:rPr>
                        <w:t xml:space="preserve"> The ceramide moiety is designated as an R group (</w:t>
                      </w:r>
                      <w:r w:rsidRPr="003D3F1C">
                        <w:rPr>
                          <w:i/>
                          <w:iCs/>
                          <w:sz w:val="20"/>
                        </w:rPr>
                        <w:t>inset</w:t>
                      </w:r>
                      <w:r>
                        <w:rPr>
                          <w:i/>
                          <w:iCs/>
                          <w:sz w:val="20"/>
                        </w:rPr>
                        <w:t xml:space="preserve">, </w:t>
                      </w:r>
                      <w:r w:rsidRPr="00BF2670">
                        <w:rPr>
                          <w:sz w:val="20"/>
                        </w:rPr>
                        <w:t>shown in magenta</w:t>
                      </w:r>
                      <w:r>
                        <w:rPr>
                          <w:sz w:val="20"/>
                        </w:rPr>
                        <w:t>). Active site Glu residues are shown in blue. The substrate is shown in black, with oxygens participating in the mechanism shown in red.</w:t>
                      </w:r>
                    </w:p>
                  </w:txbxContent>
                </v:textbox>
                <w10:wrap type="square" anchorx="margin"/>
              </v:shape>
            </w:pict>
          </mc:Fallback>
        </mc:AlternateContent>
      </w:r>
    </w:p>
    <w:p w14:paraId="17311E01" w14:textId="77777777" w:rsidR="003A168F" w:rsidRDefault="003A168F" w:rsidP="003A168F">
      <w:pPr>
        <w:rPr>
          <w:szCs w:val="24"/>
        </w:rPr>
      </w:pPr>
    </w:p>
    <w:p w14:paraId="685630F6" w14:textId="5BFED17B" w:rsidR="00DC3882" w:rsidRDefault="00757A98" w:rsidP="000F3E8E">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4"/>
        </w:rPr>
      </w:pPr>
      <w:r>
        <w:lastRenderedPageBreak/>
        <w:tab/>
      </w:r>
      <w:r w:rsidR="00DC3882">
        <w:t>Compounds that have shown promise in treating Gaucher disease are imino- and azosugars. These compounds resemble glucose but have a nitrogen instead of an oxygen in the six-membered ring and the hydroxyl group on C1 is missing, which increases the stability of the drug</w:t>
      </w:r>
      <w:r w:rsidR="00ED6436">
        <w:t xml:space="preserve">. </w:t>
      </w:r>
      <w:r w:rsidR="00DC3882">
        <w:t>The iminosugar compounds mimic the oxocarbenium intermediate formed in the reaction mechanism as shown in Figure 4. There are hundreds of naturally occurring iminosugars and synthetic organic chemists can add to this collection by synthesizing derivatives based on the naturally occurring sugars. An example of a “lead” compound is 1-deoxynojirimycin (DNJ) which can be alkylated to form</w:t>
      </w:r>
      <w:r w:rsidR="00DC3882">
        <w:rPr>
          <w:szCs w:val="24"/>
        </w:rPr>
        <w:t xml:space="preserve"> </w:t>
      </w:r>
      <w:r w:rsidR="00DC3882" w:rsidRPr="005363D1">
        <w:rPr>
          <w:i/>
          <w:iCs/>
          <w:szCs w:val="24"/>
        </w:rPr>
        <w:t>N</w:t>
      </w:r>
      <w:r w:rsidR="00DC3882">
        <w:rPr>
          <w:szCs w:val="24"/>
        </w:rPr>
        <w:t>-butyl-deoxynojirimycin, abbreviated NB-DNJ</w:t>
      </w:r>
      <w:r w:rsidR="00ED6436">
        <w:rPr>
          <w:szCs w:val="24"/>
        </w:rPr>
        <w:t xml:space="preserve">. </w:t>
      </w:r>
      <w:r w:rsidR="00DC3882" w:rsidRPr="009E6504">
        <w:rPr>
          <w:szCs w:val="24"/>
        </w:rPr>
        <w:t>NB-DNJ was the first drug approved to treat Gaucher patients; its generic name is miglustat and its trade name Zavesca</w:t>
      </w:r>
      <w:r w:rsidR="00DC3882" w:rsidRPr="009E6504">
        <w:rPr>
          <w:szCs w:val="24"/>
          <w:vertAlign w:val="superscript"/>
        </w:rPr>
        <w:t>TM</w:t>
      </w:r>
      <w:r w:rsidR="00DC3882" w:rsidRPr="009E6504">
        <w:rPr>
          <w:szCs w:val="24"/>
        </w:rPr>
        <w:t xml:space="preserve">. Attachment of a longer alkyl chain results in </w:t>
      </w:r>
      <w:r w:rsidR="00DC3882" w:rsidRPr="009E6504">
        <w:rPr>
          <w:i/>
          <w:iCs/>
          <w:szCs w:val="24"/>
        </w:rPr>
        <w:t>N</w:t>
      </w:r>
      <w:r w:rsidR="00DC3882" w:rsidRPr="009E6504">
        <w:rPr>
          <w:szCs w:val="24"/>
        </w:rPr>
        <w:t>-nonyl-deoxynojirimycin (NN-DNJ). The structures and properties of these compounds are shown in Table 1.</w:t>
      </w:r>
    </w:p>
    <w:p w14:paraId="7818A6EF" w14:textId="64C90F5D" w:rsidR="00ED6436" w:rsidRDefault="00ED6436" w:rsidP="00DC3882">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360"/>
        <w:rPr>
          <w:szCs w:val="24"/>
        </w:rPr>
      </w:pPr>
    </w:p>
    <w:p w14:paraId="105F5C66" w14:textId="67A43510" w:rsidR="00ED6436" w:rsidRPr="005B2416" w:rsidRDefault="00ED6436" w:rsidP="005B241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sidRPr="005B2416">
        <w:rPr>
          <w:rFonts w:ascii="Arial" w:hAnsi="Arial" w:cs="Arial"/>
          <w:b/>
          <w:bCs/>
          <w:sz w:val="20"/>
        </w:rPr>
        <w:t>Table 1:</w:t>
      </w:r>
      <w:r w:rsidRPr="005B2416">
        <w:rPr>
          <w:sz w:val="20"/>
        </w:rPr>
        <w:t xml:space="preserve"> Acid </w:t>
      </w:r>
      <w:r w:rsidRPr="005B2416">
        <w:rPr>
          <w:rFonts w:ascii="Symbol" w:hAnsi="Symbol"/>
          <w:sz w:val="20"/>
        </w:rPr>
        <w:t>b</w:t>
      </w:r>
      <w:r w:rsidRPr="005B2416">
        <w:rPr>
          <w:sz w:val="20"/>
        </w:rPr>
        <w:t>-glucosidase inhibitors</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28"/>
        <w:gridCol w:w="7380"/>
        <w:gridCol w:w="1386"/>
      </w:tblGrid>
      <w:tr w:rsidR="009E6504" w:rsidRPr="009E6504" w14:paraId="425037DE" w14:textId="77777777" w:rsidTr="000F3E8E">
        <w:tc>
          <w:tcPr>
            <w:tcW w:w="1428" w:type="dxa"/>
            <w:vAlign w:val="center"/>
          </w:tcPr>
          <w:p w14:paraId="4BE4E284" w14:textId="2570D2F7" w:rsidR="009E6504" w:rsidRPr="00C35A46" w:rsidRDefault="009E6504"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szCs w:val="24"/>
              </w:rPr>
            </w:pPr>
            <w:r w:rsidRPr="00C35A46">
              <w:rPr>
                <w:b/>
                <w:bCs/>
                <w:szCs w:val="24"/>
              </w:rPr>
              <w:t>Compound name</w:t>
            </w:r>
          </w:p>
        </w:tc>
        <w:tc>
          <w:tcPr>
            <w:tcW w:w="7380" w:type="dxa"/>
            <w:vAlign w:val="center"/>
          </w:tcPr>
          <w:p w14:paraId="26D2B952" w14:textId="03778E2C" w:rsidR="009E6504" w:rsidRPr="00C35A46" w:rsidRDefault="009E6504"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szCs w:val="24"/>
              </w:rPr>
            </w:pPr>
            <w:r w:rsidRPr="00C35A46">
              <w:rPr>
                <w:b/>
                <w:bCs/>
                <w:szCs w:val="24"/>
              </w:rPr>
              <w:t>Structure</w:t>
            </w:r>
          </w:p>
        </w:tc>
        <w:tc>
          <w:tcPr>
            <w:tcW w:w="1386" w:type="dxa"/>
            <w:vAlign w:val="center"/>
          </w:tcPr>
          <w:p w14:paraId="7D1C50AF" w14:textId="339B1169" w:rsidR="009E6504" w:rsidRPr="00C35A46" w:rsidRDefault="009E6504"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szCs w:val="24"/>
              </w:rPr>
            </w:pPr>
            <w:r w:rsidRPr="00C35A46">
              <w:rPr>
                <w:b/>
                <w:bCs/>
                <w:szCs w:val="24"/>
              </w:rPr>
              <w:t>Generic</w:t>
            </w:r>
            <w:r w:rsidR="00C35A46">
              <w:rPr>
                <w:b/>
                <w:bCs/>
                <w:szCs w:val="24"/>
              </w:rPr>
              <w:t xml:space="preserve"> and </w:t>
            </w:r>
            <w:r w:rsidRPr="00C35A46">
              <w:rPr>
                <w:b/>
                <w:bCs/>
                <w:szCs w:val="24"/>
              </w:rPr>
              <w:t>trade names</w:t>
            </w:r>
          </w:p>
        </w:tc>
      </w:tr>
      <w:tr w:rsidR="009E6504" w:rsidRPr="009E6504" w14:paraId="25C689FA" w14:textId="77777777" w:rsidTr="000F3E8E">
        <w:tc>
          <w:tcPr>
            <w:tcW w:w="1428" w:type="dxa"/>
            <w:vAlign w:val="center"/>
          </w:tcPr>
          <w:p w14:paraId="1A7C27E0" w14:textId="0AEBD85A" w:rsidR="009E6504" w:rsidRPr="009E6504" w:rsidRDefault="009E6504"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4"/>
              </w:rPr>
            </w:pPr>
            <w:r>
              <w:rPr>
                <w:szCs w:val="24"/>
              </w:rPr>
              <w:t>1-deoxy</w:t>
            </w:r>
            <w:r w:rsidR="00C35A46">
              <w:rPr>
                <w:szCs w:val="24"/>
              </w:rPr>
              <w:t>-</w:t>
            </w:r>
            <w:r>
              <w:rPr>
                <w:szCs w:val="24"/>
              </w:rPr>
              <w:t>nojirimycin (DNJ)</w:t>
            </w:r>
          </w:p>
        </w:tc>
        <w:tc>
          <w:tcPr>
            <w:tcW w:w="7380" w:type="dxa"/>
            <w:vAlign w:val="center"/>
          </w:tcPr>
          <w:p w14:paraId="0D06FBA4" w14:textId="77777777" w:rsidR="009E6504" w:rsidRDefault="009E6504"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4"/>
              </w:rPr>
            </w:pPr>
          </w:p>
          <w:p w14:paraId="28128941" w14:textId="16E97070" w:rsidR="009E6504" w:rsidRPr="009E6504" w:rsidRDefault="008D6FF8"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4"/>
              </w:rPr>
            </w:pPr>
            <w:r>
              <w:rPr>
                <w:noProof/>
              </w:rPr>
              <w:object w:dxaOrig="2937" w:dyaOrig="2284" w14:anchorId="6800B96E">
                <v:shape id="_x0000_i1027" type="#_x0000_t75" alt="" style="width:136.85pt;height:108.65pt;mso-width-percent:0;mso-height-percent:0;mso-width-percent:0;mso-height-percent:0" o:ole="">
                  <v:imagedata r:id="rId16" o:title=""/>
                </v:shape>
                <o:OLEObject Type="Embed" ProgID="ChemDraw.Document.6.0" ShapeID="_x0000_i1027" DrawAspect="Content" ObjectID="_1797057032" r:id="rId17"/>
              </w:object>
            </w:r>
          </w:p>
        </w:tc>
        <w:tc>
          <w:tcPr>
            <w:tcW w:w="1386" w:type="dxa"/>
            <w:vAlign w:val="center"/>
          </w:tcPr>
          <w:p w14:paraId="6A284406" w14:textId="77777777" w:rsidR="009E6504" w:rsidRPr="009E6504" w:rsidRDefault="009E6504"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4"/>
              </w:rPr>
            </w:pPr>
          </w:p>
        </w:tc>
      </w:tr>
      <w:tr w:rsidR="009E6504" w:rsidRPr="009E6504" w14:paraId="613D88E5" w14:textId="77777777" w:rsidTr="000F3E8E">
        <w:tc>
          <w:tcPr>
            <w:tcW w:w="1428" w:type="dxa"/>
            <w:vAlign w:val="center"/>
          </w:tcPr>
          <w:p w14:paraId="4CA7EF98" w14:textId="14D7A2B4" w:rsidR="009E6504" w:rsidRPr="009E6504" w:rsidRDefault="009E6504"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4"/>
              </w:rPr>
            </w:pPr>
            <w:r w:rsidRPr="005363D1">
              <w:rPr>
                <w:i/>
                <w:iCs/>
                <w:szCs w:val="24"/>
              </w:rPr>
              <w:t>N</w:t>
            </w:r>
            <w:r>
              <w:rPr>
                <w:szCs w:val="24"/>
              </w:rPr>
              <w:t>-butyl-deoxy</w:t>
            </w:r>
            <w:r w:rsidR="00C35A46">
              <w:rPr>
                <w:szCs w:val="24"/>
              </w:rPr>
              <w:t>-</w:t>
            </w:r>
            <w:r>
              <w:rPr>
                <w:szCs w:val="24"/>
              </w:rPr>
              <w:t>nojirimycin (NB-DNJ)</w:t>
            </w:r>
          </w:p>
        </w:tc>
        <w:tc>
          <w:tcPr>
            <w:tcW w:w="7380" w:type="dxa"/>
            <w:vAlign w:val="center"/>
          </w:tcPr>
          <w:p w14:paraId="619F87C3" w14:textId="3DBF0FAD" w:rsidR="009E6504" w:rsidRPr="009E6504" w:rsidRDefault="008D6FF8"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4"/>
              </w:rPr>
            </w:pPr>
            <w:r>
              <w:rPr>
                <w:noProof/>
              </w:rPr>
              <w:object w:dxaOrig="4565" w:dyaOrig="2284" w14:anchorId="591C116C">
                <v:shape id="_x0000_i1026" type="#_x0000_t75" alt="" style="width:3in;height:108.65pt;mso-width-percent:0;mso-height-percent:0;mso-width-percent:0;mso-height-percent:0" o:ole="">
                  <v:imagedata r:id="rId18" o:title=""/>
                </v:shape>
                <o:OLEObject Type="Embed" ProgID="ChemDraw.Document.6.0" ShapeID="_x0000_i1026" DrawAspect="Content" ObjectID="_1797057033" r:id="rId19"/>
              </w:object>
            </w:r>
          </w:p>
        </w:tc>
        <w:tc>
          <w:tcPr>
            <w:tcW w:w="1386" w:type="dxa"/>
            <w:vAlign w:val="center"/>
          </w:tcPr>
          <w:p w14:paraId="4028331C" w14:textId="7B31B5DB" w:rsidR="009E6504" w:rsidRPr="009E6504" w:rsidRDefault="00886D74"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4"/>
              </w:rPr>
            </w:pPr>
            <w:r>
              <w:rPr>
                <w:szCs w:val="24"/>
              </w:rPr>
              <w:t>Miglustat, Zavesca</w:t>
            </w:r>
            <w:r w:rsidR="00C35A46" w:rsidRPr="00C35A46">
              <w:rPr>
                <w:szCs w:val="24"/>
                <w:vertAlign w:val="superscript"/>
              </w:rPr>
              <w:t>TM</w:t>
            </w:r>
          </w:p>
        </w:tc>
      </w:tr>
      <w:tr w:rsidR="009E6504" w:rsidRPr="009E6504" w14:paraId="74CDF654" w14:textId="77777777" w:rsidTr="003A168F">
        <w:trPr>
          <w:trHeight w:val="3248"/>
        </w:trPr>
        <w:tc>
          <w:tcPr>
            <w:tcW w:w="1428" w:type="dxa"/>
            <w:vAlign w:val="center"/>
          </w:tcPr>
          <w:p w14:paraId="10B99D39" w14:textId="2F899B19" w:rsidR="009E6504" w:rsidRPr="009E6504" w:rsidRDefault="009E6504"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4"/>
              </w:rPr>
            </w:pPr>
            <w:r w:rsidRPr="009E6504">
              <w:rPr>
                <w:i/>
                <w:iCs/>
                <w:szCs w:val="24"/>
              </w:rPr>
              <w:t>N</w:t>
            </w:r>
            <w:r w:rsidRPr="009E6504">
              <w:rPr>
                <w:szCs w:val="24"/>
              </w:rPr>
              <w:t>-nonyl-deoxy</w:t>
            </w:r>
            <w:r w:rsidR="00C35A46">
              <w:rPr>
                <w:szCs w:val="24"/>
              </w:rPr>
              <w:t>-</w:t>
            </w:r>
            <w:r w:rsidRPr="009E6504">
              <w:rPr>
                <w:szCs w:val="24"/>
              </w:rPr>
              <w:t>nojirimycin (NN-DNJ)</w:t>
            </w:r>
          </w:p>
        </w:tc>
        <w:tc>
          <w:tcPr>
            <w:tcW w:w="7380" w:type="dxa"/>
            <w:vAlign w:val="center"/>
          </w:tcPr>
          <w:p w14:paraId="3BD159FE" w14:textId="721BD91A" w:rsidR="009E6504" w:rsidRPr="009E6504" w:rsidRDefault="008D6FF8"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4"/>
              </w:rPr>
            </w:pPr>
            <w:r>
              <w:rPr>
                <w:noProof/>
              </w:rPr>
              <w:object w:dxaOrig="7164" w:dyaOrig="2285" w14:anchorId="3A8C2665">
                <v:shape id="_x0000_i1025" type="#_x0000_t75" alt="" style="width:339pt;height:107.35pt;mso-width-percent:0;mso-height-percent:0;mso-width-percent:0;mso-height-percent:0" o:ole="">
                  <v:imagedata r:id="rId20" o:title=""/>
                </v:shape>
                <o:OLEObject Type="Embed" ProgID="ChemDraw.Document.6.0" ShapeID="_x0000_i1025" DrawAspect="Content" ObjectID="_1797057034" r:id="rId21"/>
              </w:object>
            </w:r>
          </w:p>
        </w:tc>
        <w:tc>
          <w:tcPr>
            <w:tcW w:w="1386" w:type="dxa"/>
            <w:vAlign w:val="center"/>
          </w:tcPr>
          <w:p w14:paraId="69762748" w14:textId="77777777" w:rsidR="009E6504" w:rsidRPr="009E6504" w:rsidRDefault="009E6504" w:rsidP="00C35A46">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4"/>
              </w:rPr>
            </w:pPr>
          </w:p>
        </w:tc>
      </w:tr>
    </w:tbl>
    <w:p w14:paraId="5E56D80F" w14:textId="036244E5" w:rsidR="00031799" w:rsidRPr="009E6504" w:rsidRDefault="00EA5020">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rsidRPr="009E6504">
        <w:rPr>
          <w:sz w:val="32"/>
        </w:rPr>
        <w:lastRenderedPageBreak/>
        <w:t>Questions</w:t>
      </w:r>
    </w:p>
    <w:p w14:paraId="3AA7CAEB" w14:textId="3B1214F9" w:rsidR="00EC57EF" w:rsidRPr="0076225E" w:rsidRDefault="00EC57EF" w:rsidP="00B67E48">
      <w:pPr>
        <w:pStyle w:val="ListParagraph"/>
        <w:widowControl w:val="0"/>
        <w:numPr>
          <w:ilvl w:val="0"/>
          <w:numId w:val="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bookmarkStart w:id="6" w:name="_Hlk121775237"/>
      <w:r w:rsidRPr="0076225E">
        <w:rPr>
          <w:szCs w:val="24"/>
        </w:rPr>
        <w:t>Patients with Gaucher</w:t>
      </w:r>
      <w:r w:rsidR="001D7BBE" w:rsidRPr="0076225E">
        <w:rPr>
          <w:szCs w:val="24"/>
        </w:rPr>
        <w:t xml:space="preserve"> </w:t>
      </w:r>
      <w:r w:rsidRPr="0076225E">
        <w:rPr>
          <w:szCs w:val="24"/>
        </w:rPr>
        <w:t xml:space="preserve">disease </w:t>
      </w:r>
      <w:r w:rsidR="0092322E" w:rsidRPr="0076225E">
        <w:rPr>
          <w:szCs w:val="24"/>
        </w:rPr>
        <w:t>express an</w:t>
      </w:r>
      <w:r w:rsidRPr="0076225E">
        <w:rPr>
          <w:szCs w:val="24"/>
        </w:rPr>
        <w:t xml:space="preserve"> acid </w:t>
      </w:r>
      <w:r w:rsidRPr="0076225E">
        <w:rPr>
          <w:rFonts w:ascii="Symbol" w:hAnsi="Symbol"/>
          <w:szCs w:val="24"/>
        </w:rPr>
        <w:t>b</w:t>
      </w:r>
      <w:r w:rsidRPr="0076225E">
        <w:rPr>
          <w:szCs w:val="24"/>
        </w:rPr>
        <w:t>-glucosidase enzyme</w:t>
      </w:r>
      <w:r w:rsidR="0092322E" w:rsidRPr="0076225E">
        <w:rPr>
          <w:szCs w:val="24"/>
        </w:rPr>
        <w:t xml:space="preserve"> with impaired catalytic activity</w:t>
      </w:r>
      <w:r w:rsidRPr="0076225E">
        <w:rPr>
          <w:szCs w:val="24"/>
        </w:rPr>
        <w:t xml:space="preserve">. Consult </w:t>
      </w:r>
      <w:r w:rsidR="006559F5">
        <w:rPr>
          <w:szCs w:val="24"/>
        </w:rPr>
        <w:t>Figure 2 and read the caption carefully. Brainstorm with your team</w:t>
      </w:r>
      <w:r w:rsidR="00B52EF1" w:rsidRPr="0076225E">
        <w:rPr>
          <w:szCs w:val="24"/>
        </w:rPr>
        <w:t xml:space="preserve"> </w:t>
      </w:r>
      <w:r w:rsidRPr="0076225E">
        <w:rPr>
          <w:szCs w:val="24"/>
        </w:rPr>
        <w:t>and make a list of</w:t>
      </w:r>
      <w:r w:rsidR="006559F5">
        <w:rPr>
          <w:szCs w:val="24"/>
        </w:rPr>
        <w:t xml:space="preserve"> about four or five </w:t>
      </w:r>
      <w:r w:rsidRPr="0076225E">
        <w:rPr>
          <w:szCs w:val="24"/>
        </w:rPr>
        <w:t xml:space="preserve">various steps in </w:t>
      </w:r>
      <w:r w:rsidR="00B52EF1" w:rsidRPr="0076225E">
        <w:rPr>
          <w:szCs w:val="24"/>
        </w:rPr>
        <w:t>either the processing of the enzyme or the enzyme structure itself</w:t>
      </w:r>
      <w:r w:rsidRPr="0076225E">
        <w:rPr>
          <w:szCs w:val="24"/>
        </w:rPr>
        <w:t xml:space="preserve"> that could potentially result in </w:t>
      </w:r>
      <w:r w:rsidR="00B52EF1" w:rsidRPr="0076225E">
        <w:rPr>
          <w:szCs w:val="24"/>
        </w:rPr>
        <w:t xml:space="preserve">a patient’s inability to degrade </w:t>
      </w:r>
      <w:r w:rsidR="00B52EF1" w:rsidRPr="0076225E">
        <w:rPr>
          <w:smallCaps/>
        </w:rPr>
        <w:t>d</w:t>
      </w:r>
      <w:r w:rsidR="00B52EF1" w:rsidRPr="0076225E">
        <w:rPr>
          <w:szCs w:val="24"/>
        </w:rPr>
        <w:t>-glucosyl-</w:t>
      </w:r>
      <w:r w:rsidR="00B52EF1" w:rsidRPr="0076225E">
        <w:rPr>
          <w:i/>
          <w:iCs/>
          <w:szCs w:val="24"/>
        </w:rPr>
        <w:t>N</w:t>
      </w:r>
      <w:r w:rsidR="00B52EF1" w:rsidRPr="0076225E">
        <w:rPr>
          <w:szCs w:val="24"/>
        </w:rPr>
        <w:t>-acylsphingosine</w:t>
      </w:r>
      <w:r w:rsidRPr="0076225E">
        <w:rPr>
          <w:szCs w:val="24"/>
        </w:rPr>
        <w:t>.</w:t>
      </w:r>
    </w:p>
    <w:bookmarkEnd w:id="6"/>
    <w:p w14:paraId="15E3728A" w14:textId="77777777" w:rsidR="00471090" w:rsidRPr="0076225E" w:rsidRDefault="00471090" w:rsidP="00EC57EF">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41277958" w14:textId="62D7166F" w:rsidR="00EC57EF" w:rsidRDefault="00EC57EF" w:rsidP="00B67E48">
      <w:pPr>
        <w:pStyle w:val="ListParagraph"/>
        <w:widowControl w:val="0"/>
        <w:numPr>
          <w:ilvl w:val="0"/>
          <w:numId w:val="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bookmarkStart w:id="7" w:name="_Hlk121775572"/>
      <w:r w:rsidRPr="0076225E">
        <w:rPr>
          <w:szCs w:val="24"/>
        </w:rPr>
        <w:t xml:space="preserve">The acid </w:t>
      </w:r>
      <w:r w:rsidRPr="0076225E">
        <w:rPr>
          <w:rFonts w:ascii="Symbol" w:hAnsi="Symbol"/>
          <w:szCs w:val="24"/>
        </w:rPr>
        <w:t>b</w:t>
      </w:r>
      <w:r w:rsidRPr="0076225E">
        <w:rPr>
          <w:szCs w:val="24"/>
        </w:rPr>
        <w:t xml:space="preserve">-glucosidase enzyme catalyzes the hydrolysis </w:t>
      </w:r>
      <w:r>
        <w:rPr>
          <w:szCs w:val="24"/>
        </w:rPr>
        <w:t xml:space="preserve">of </w:t>
      </w:r>
      <w:r w:rsidRPr="005002E0">
        <w:rPr>
          <w:smallCaps/>
        </w:rPr>
        <w:t>d</w:t>
      </w:r>
      <w:r>
        <w:rPr>
          <w:szCs w:val="24"/>
        </w:rPr>
        <w:t>-glucosyl-</w:t>
      </w:r>
      <w:r w:rsidRPr="00EC57EF">
        <w:rPr>
          <w:i/>
          <w:iCs/>
          <w:szCs w:val="24"/>
        </w:rPr>
        <w:t>N</w:t>
      </w:r>
      <w:r>
        <w:rPr>
          <w:szCs w:val="24"/>
        </w:rPr>
        <w:t xml:space="preserve">-acylsphingosine. </w:t>
      </w:r>
      <w:r w:rsidR="006559F5">
        <w:rPr>
          <w:szCs w:val="24"/>
        </w:rPr>
        <w:t>Draw the structures of the products of the reaction, using the structure provided in Figure 1 as the substrate.</w:t>
      </w:r>
    </w:p>
    <w:p w14:paraId="0273209C" w14:textId="77777777" w:rsidR="00536438" w:rsidRPr="00536438" w:rsidRDefault="00536438" w:rsidP="00536438">
      <w:pPr>
        <w:pStyle w:val="ListParagraph"/>
        <w:rPr>
          <w:szCs w:val="24"/>
        </w:rPr>
      </w:pPr>
    </w:p>
    <w:p w14:paraId="483B3B43" w14:textId="7BB1C3DC" w:rsidR="00536438" w:rsidRDefault="00536438" w:rsidP="00B67E48">
      <w:pPr>
        <w:pStyle w:val="ListParagraph"/>
        <w:widowControl w:val="0"/>
        <w:numPr>
          <w:ilvl w:val="0"/>
          <w:numId w:val="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bookmarkStart w:id="8" w:name="_Hlk167980275"/>
      <w:r>
        <w:rPr>
          <w:szCs w:val="24"/>
        </w:rPr>
        <w:t xml:space="preserve">We can use the </w:t>
      </w:r>
      <w:hyperlink r:id="rId22" w:history="1">
        <w:r w:rsidRPr="00536438">
          <w:rPr>
            <w:rStyle w:val="Hyperlink"/>
            <w:szCs w:val="24"/>
          </w:rPr>
          <w:t>Protein Data Bank</w:t>
        </w:r>
      </w:hyperlink>
      <w:r>
        <w:rPr>
          <w:szCs w:val="24"/>
        </w:rPr>
        <w:t xml:space="preserve"> to obtain information about the </w:t>
      </w:r>
      <w:r w:rsidRPr="0076225E">
        <w:rPr>
          <w:szCs w:val="24"/>
        </w:rPr>
        <w:t xml:space="preserve">acid </w:t>
      </w:r>
      <w:r w:rsidRPr="0076225E">
        <w:rPr>
          <w:rFonts w:ascii="Symbol" w:hAnsi="Symbol"/>
          <w:szCs w:val="24"/>
        </w:rPr>
        <w:t>b</w:t>
      </w:r>
      <w:r w:rsidRPr="0076225E">
        <w:rPr>
          <w:szCs w:val="24"/>
        </w:rPr>
        <w:t>-glucosidase enzyme</w:t>
      </w:r>
      <w:r>
        <w:rPr>
          <w:szCs w:val="24"/>
        </w:rPr>
        <w:t xml:space="preserve"> that is the focus of this case study. Access the Protein Data Bank and enter </w:t>
      </w:r>
      <w:r w:rsidR="00675E56">
        <w:rPr>
          <w:szCs w:val="24"/>
        </w:rPr>
        <w:t>the code 2F61. You can explore various aspects of the structure of the enzyme by accessing the tabs at the top of the page.</w:t>
      </w:r>
    </w:p>
    <w:p w14:paraId="471D2F42" w14:textId="77777777" w:rsidR="00675E56" w:rsidRPr="00675E56" w:rsidRDefault="00675E56" w:rsidP="00675E56">
      <w:pPr>
        <w:pStyle w:val="ListParagraph"/>
        <w:rPr>
          <w:szCs w:val="24"/>
        </w:rPr>
      </w:pPr>
    </w:p>
    <w:p w14:paraId="26B349A6" w14:textId="213FC0F7" w:rsidR="00675E56" w:rsidRDefault="00675E56" w:rsidP="00675E56">
      <w:pPr>
        <w:pStyle w:val="ListParagraph"/>
        <w:widowControl w:val="0"/>
        <w:numPr>
          <w:ilvl w:val="0"/>
          <w:numId w:val="24"/>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 xml:space="preserve">Is the </w:t>
      </w:r>
      <w:r w:rsidRPr="0076225E">
        <w:rPr>
          <w:szCs w:val="24"/>
        </w:rPr>
        <w:t xml:space="preserve">acid </w:t>
      </w:r>
      <w:r w:rsidRPr="0076225E">
        <w:rPr>
          <w:rFonts w:ascii="Symbol" w:hAnsi="Symbol"/>
          <w:szCs w:val="24"/>
        </w:rPr>
        <w:t>b</w:t>
      </w:r>
      <w:r w:rsidRPr="0076225E">
        <w:rPr>
          <w:szCs w:val="24"/>
        </w:rPr>
        <w:t>-glucosidase enzyme</w:t>
      </w:r>
      <w:r>
        <w:rPr>
          <w:szCs w:val="24"/>
        </w:rPr>
        <w:t xml:space="preserve"> a monomer or an oligomer?</w:t>
      </w:r>
    </w:p>
    <w:p w14:paraId="4D2F6EFB" w14:textId="567032CF" w:rsidR="00675E56" w:rsidRDefault="00675E56" w:rsidP="00675E56">
      <w:pPr>
        <w:pStyle w:val="ListParagraph"/>
        <w:widowControl w:val="0"/>
        <w:numPr>
          <w:ilvl w:val="0"/>
          <w:numId w:val="24"/>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How many amino acids in length is the enzyme?</w:t>
      </w:r>
    </w:p>
    <w:p w14:paraId="022D075D" w14:textId="4BD13178" w:rsidR="00675E56" w:rsidRDefault="00675E56" w:rsidP="00675E56">
      <w:pPr>
        <w:pStyle w:val="ListParagraph"/>
        <w:widowControl w:val="0"/>
        <w:numPr>
          <w:ilvl w:val="0"/>
          <w:numId w:val="24"/>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Click on the Sequence tab and look at the Active Site entry. Hover your mouse over the pink dots corresponding to this entry. Identify the amino acids in the enzyme’s active site.</w:t>
      </w:r>
    </w:p>
    <w:p w14:paraId="37BBB2E9" w14:textId="77777777" w:rsidR="00675E56" w:rsidRPr="00675E56" w:rsidRDefault="00675E56" w:rsidP="00675E56">
      <w:pPr>
        <w:pStyle w:val="ListParagraph"/>
        <w:rPr>
          <w:szCs w:val="24"/>
        </w:rPr>
      </w:pPr>
    </w:p>
    <w:p w14:paraId="5D187795" w14:textId="26D9E6AC" w:rsidR="00BC10F8" w:rsidRDefault="00AD5317" w:rsidP="00AD5317">
      <w:pPr>
        <w:pStyle w:val="ListParagraph"/>
        <w:widowControl w:val="0"/>
        <w:numPr>
          <w:ilvl w:val="0"/>
          <w:numId w:val="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bookmarkStart w:id="9" w:name="_Hlk121775670"/>
      <w:bookmarkEnd w:id="7"/>
      <w:r>
        <w:rPr>
          <w:szCs w:val="24"/>
        </w:rPr>
        <w:t>The enzyme mechanism is described in the Background</w:t>
      </w:r>
      <w:r w:rsidR="00A934D0">
        <w:rPr>
          <w:szCs w:val="24"/>
        </w:rPr>
        <w:t xml:space="preserve"> and shown in Figure </w:t>
      </w:r>
      <w:r w:rsidR="0092322E">
        <w:rPr>
          <w:szCs w:val="24"/>
        </w:rPr>
        <w:t>4</w:t>
      </w:r>
      <w:r>
        <w:rPr>
          <w:szCs w:val="24"/>
        </w:rPr>
        <w:t xml:space="preserve">. </w:t>
      </w:r>
      <w:r w:rsidR="00BC10F8">
        <w:rPr>
          <w:szCs w:val="24"/>
        </w:rPr>
        <w:t xml:space="preserve">A pH-rate profile, in which the activity of the enzyme is measured over a pH range, is shown in Figure </w:t>
      </w:r>
      <w:r w:rsidR="0092322E">
        <w:rPr>
          <w:szCs w:val="24"/>
        </w:rPr>
        <w:t>5</w:t>
      </w:r>
      <w:r w:rsidR="00BC10F8">
        <w:rPr>
          <w:szCs w:val="24"/>
        </w:rPr>
        <w:t>. From the pH-rate profile, the following can be discerned:</w:t>
      </w:r>
    </w:p>
    <w:p w14:paraId="346057BB" w14:textId="41CFB43F" w:rsidR="00BC10F8" w:rsidRDefault="00BC10F8" w:rsidP="00BC10F8">
      <w:pPr>
        <w:pStyle w:val="ListParagraph"/>
        <w:widowControl w:val="0"/>
        <w:numPr>
          <w:ilvl w:val="0"/>
          <w:numId w:val="4"/>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The pH optimum</w:t>
      </w:r>
    </w:p>
    <w:p w14:paraId="6690DD8D" w14:textId="76A085F7" w:rsidR="00BC10F8" w:rsidRDefault="00BC10F8" w:rsidP="00BC10F8">
      <w:pPr>
        <w:pStyle w:val="ListParagraph"/>
        <w:widowControl w:val="0"/>
        <w:numPr>
          <w:ilvl w:val="0"/>
          <w:numId w:val="4"/>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The ascending inflection point correspo</w:t>
      </w:r>
      <w:r w:rsidR="00A934D0">
        <w:rPr>
          <w:szCs w:val="24"/>
        </w:rPr>
        <w:t>nding</w:t>
      </w:r>
      <w:r>
        <w:rPr>
          <w:szCs w:val="24"/>
        </w:rPr>
        <w:t xml:space="preserve"> to the </w:t>
      </w:r>
      <w:r w:rsidR="00B67E48" w:rsidRPr="00EC57EF">
        <w:rPr>
          <w:szCs w:val="24"/>
        </w:rPr>
        <w:t>initial</w:t>
      </w:r>
      <w:r w:rsidR="00B67E48" w:rsidRPr="00EC57EF">
        <w:rPr>
          <w:i/>
          <w:szCs w:val="24"/>
        </w:rPr>
        <w:t xml:space="preserve"> pK</w:t>
      </w:r>
      <w:r w:rsidR="00B67E48" w:rsidRPr="00EC57EF">
        <w:rPr>
          <w:szCs w:val="24"/>
          <w:vertAlign w:val="subscript"/>
        </w:rPr>
        <w:t>R</w:t>
      </w:r>
      <w:r w:rsidR="00B67E48" w:rsidRPr="00EC57EF">
        <w:rPr>
          <w:szCs w:val="24"/>
        </w:rPr>
        <w:t xml:space="preserve"> for one </w:t>
      </w:r>
      <w:r w:rsidR="00536438">
        <w:rPr>
          <w:szCs w:val="24"/>
        </w:rPr>
        <w:t xml:space="preserve">active site </w:t>
      </w:r>
      <w:r w:rsidR="00B67E48" w:rsidRPr="00EC57EF">
        <w:rPr>
          <w:szCs w:val="24"/>
        </w:rPr>
        <w:t>Glu residues</w:t>
      </w:r>
    </w:p>
    <w:p w14:paraId="2FA7C340" w14:textId="02E571DA" w:rsidR="00B67E48" w:rsidRDefault="00BC10F8" w:rsidP="00BC10F8">
      <w:pPr>
        <w:pStyle w:val="ListParagraph"/>
        <w:widowControl w:val="0"/>
        <w:numPr>
          <w:ilvl w:val="0"/>
          <w:numId w:val="4"/>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The descending inflection point correspond</w:t>
      </w:r>
      <w:r w:rsidR="00A934D0">
        <w:rPr>
          <w:szCs w:val="24"/>
        </w:rPr>
        <w:t>ing</w:t>
      </w:r>
      <w:r>
        <w:rPr>
          <w:szCs w:val="24"/>
        </w:rPr>
        <w:t xml:space="preserve"> to the initial</w:t>
      </w:r>
      <w:r w:rsidR="00B67E48" w:rsidRPr="00EC57EF">
        <w:rPr>
          <w:szCs w:val="24"/>
        </w:rPr>
        <w:t xml:space="preserve"> </w:t>
      </w:r>
      <w:r w:rsidR="00B67E48" w:rsidRPr="00EC57EF">
        <w:rPr>
          <w:i/>
          <w:szCs w:val="24"/>
        </w:rPr>
        <w:t>pK</w:t>
      </w:r>
      <w:r w:rsidR="00B67E48" w:rsidRPr="00EC57EF">
        <w:rPr>
          <w:szCs w:val="24"/>
          <w:vertAlign w:val="subscript"/>
        </w:rPr>
        <w:t>R</w:t>
      </w:r>
      <w:r w:rsidR="00B67E48" w:rsidRPr="00EC57EF">
        <w:rPr>
          <w:szCs w:val="24"/>
        </w:rPr>
        <w:t xml:space="preserve"> for the other </w:t>
      </w:r>
      <w:r w:rsidR="00536438">
        <w:rPr>
          <w:szCs w:val="24"/>
        </w:rPr>
        <w:t xml:space="preserve">active site </w:t>
      </w:r>
      <w:r w:rsidR="00B67E48" w:rsidRPr="00EC57EF">
        <w:rPr>
          <w:szCs w:val="24"/>
        </w:rPr>
        <w:t>Glu residue</w:t>
      </w:r>
    </w:p>
    <w:p w14:paraId="1F5A7F02" w14:textId="02648D08" w:rsidR="00BC10F8" w:rsidRDefault="00BC10F8" w:rsidP="00BC10F8">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0F7B2714" w14:textId="62967F88" w:rsidR="00BC10F8" w:rsidRPr="0076225E" w:rsidRDefault="00BC10F8" w:rsidP="00BC10F8">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r>
        <w:rPr>
          <w:szCs w:val="24"/>
        </w:rPr>
        <w:t>Determine the pH optimum and the p</w:t>
      </w:r>
      <w:r w:rsidRPr="00BC10F8">
        <w:rPr>
          <w:i/>
          <w:iCs/>
          <w:szCs w:val="24"/>
        </w:rPr>
        <w:t>K</w:t>
      </w:r>
      <w:r w:rsidRPr="00BC10F8">
        <w:rPr>
          <w:szCs w:val="24"/>
          <w:vertAlign w:val="subscript"/>
        </w:rPr>
        <w:t>R</w:t>
      </w:r>
      <w:r>
        <w:rPr>
          <w:szCs w:val="24"/>
        </w:rPr>
        <w:t xml:space="preserve"> values </w:t>
      </w:r>
      <w:r w:rsidRPr="0076225E">
        <w:rPr>
          <w:szCs w:val="24"/>
        </w:rPr>
        <w:t xml:space="preserve">for both Glu </w:t>
      </w:r>
      <w:r w:rsidR="00D700DF" w:rsidRPr="0076225E">
        <w:rPr>
          <w:szCs w:val="24"/>
        </w:rPr>
        <w:t>residues and</w:t>
      </w:r>
      <w:r w:rsidRPr="0076225E">
        <w:rPr>
          <w:szCs w:val="24"/>
        </w:rPr>
        <w:t xml:space="preserve"> be sure to assign the correct p</w:t>
      </w:r>
      <w:r w:rsidRPr="0076225E">
        <w:rPr>
          <w:i/>
          <w:iCs/>
          <w:szCs w:val="24"/>
        </w:rPr>
        <w:t>K</w:t>
      </w:r>
      <w:r w:rsidRPr="0076225E">
        <w:rPr>
          <w:szCs w:val="24"/>
          <w:vertAlign w:val="subscript"/>
        </w:rPr>
        <w:t>R</w:t>
      </w:r>
      <w:r w:rsidRPr="0076225E">
        <w:rPr>
          <w:szCs w:val="24"/>
        </w:rPr>
        <w:t xml:space="preserve"> value to</w:t>
      </w:r>
      <w:r w:rsidR="00675E56">
        <w:rPr>
          <w:szCs w:val="24"/>
        </w:rPr>
        <w:t xml:space="preserve"> each Glu residue. Are these residues protonated or unprotonated? </w:t>
      </w:r>
      <w:r w:rsidR="00897F66">
        <w:rPr>
          <w:szCs w:val="24"/>
        </w:rPr>
        <w:t>Consult the mechanism of the enzyme in Figure 4 and e</w:t>
      </w:r>
      <w:r w:rsidR="005B2416" w:rsidRPr="0076225E">
        <w:rPr>
          <w:szCs w:val="24"/>
        </w:rPr>
        <w:t>xplain why you assigned the p</w:t>
      </w:r>
      <w:r w:rsidR="005B2416" w:rsidRPr="0076225E">
        <w:rPr>
          <w:i/>
          <w:iCs/>
          <w:szCs w:val="24"/>
        </w:rPr>
        <w:t>K</w:t>
      </w:r>
      <w:r w:rsidR="005B2416" w:rsidRPr="0076225E">
        <w:rPr>
          <w:szCs w:val="24"/>
          <w:vertAlign w:val="subscript"/>
        </w:rPr>
        <w:t>R</w:t>
      </w:r>
      <w:r w:rsidR="005B2416" w:rsidRPr="0076225E">
        <w:rPr>
          <w:szCs w:val="24"/>
        </w:rPr>
        <w:t xml:space="preserve"> values the way you did</w:t>
      </w:r>
      <w:r w:rsidR="00897F66">
        <w:rPr>
          <w:szCs w:val="24"/>
        </w:rPr>
        <w:t>.</w:t>
      </w:r>
    </w:p>
    <w:bookmarkEnd w:id="8"/>
    <w:bookmarkEnd w:id="9"/>
    <w:p w14:paraId="0C25A7BE" w14:textId="3BD3DFC2" w:rsidR="00EC57EF" w:rsidRPr="0076225E" w:rsidRDefault="00F22495" w:rsidP="00EC57EF">
      <w:pPr>
        <w:pStyle w:val="ListParagraph"/>
        <w:rPr>
          <w:szCs w:val="24"/>
        </w:rPr>
      </w:pPr>
      <w:r w:rsidRPr="0076225E">
        <w:rPr>
          <w:noProof/>
        </w:rPr>
        <w:drawing>
          <wp:anchor distT="0" distB="0" distL="114300" distR="114300" simplePos="0" relativeHeight="251672576" behindDoc="0" locked="0" layoutInCell="1" allowOverlap="1" wp14:anchorId="09B8C43A" wp14:editId="09BB7053">
            <wp:simplePos x="0" y="0"/>
            <wp:positionH relativeFrom="column">
              <wp:posOffset>1098272</wp:posOffset>
            </wp:positionH>
            <wp:positionV relativeFrom="paragraph">
              <wp:posOffset>35936</wp:posOffset>
            </wp:positionV>
            <wp:extent cx="2460625" cy="1891665"/>
            <wp:effectExtent l="0" t="0" r="0" b="0"/>
            <wp:wrapSquare wrapText="bothSides"/>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0625" cy="1891665"/>
                    </a:xfrm>
                    <a:prstGeom prst="rect">
                      <a:avLst/>
                    </a:prstGeom>
                  </pic:spPr>
                </pic:pic>
              </a:graphicData>
            </a:graphic>
            <wp14:sizeRelH relativeFrom="page">
              <wp14:pctWidth>0</wp14:pctWidth>
            </wp14:sizeRelH>
            <wp14:sizeRelV relativeFrom="page">
              <wp14:pctHeight>0</wp14:pctHeight>
            </wp14:sizeRelV>
          </wp:anchor>
        </w:drawing>
      </w:r>
    </w:p>
    <w:p w14:paraId="0AEEF47A" w14:textId="6DAC6545" w:rsidR="00EC57EF" w:rsidRPr="0076225E" w:rsidRDefault="00EC57EF" w:rsidP="00EC57EF">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p>
    <w:p w14:paraId="51FA49BD" w14:textId="03B035C0" w:rsidR="00B67E48" w:rsidRPr="0076225E" w:rsidRDefault="00B67E48"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1A0ACA0A" w14:textId="7ED530E7" w:rsidR="00D700DF" w:rsidRPr="0076225E" w:rsidRDefault="00D700DF"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53C219F5" w14:textId="20C61B34" w:rsidR="00D700DF" w:rsidRPr="0076225E" w:rsidRDefault="00D700DF"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6B0E595A" w14:textId="2086CC21" w:rsidR="00F22495" w:rsidRPr="0076225E" w:rsidRDefault="00F22495"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6E51E055" w14:textId="56180E9E" w:rsidR="00F22495" w:rsidRPr="0076225E" w:rsidRDefault="00F22495"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73F5B968" w14:textId="34D6CE35" w:rsidR="00F22495" w:rsidRPr="0076225E" w:rsidRDefault="00F22495"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2FB191CF" w14:textId="4A3381C6" w:rsidR="00F22495" w:rsidRPr="0076225E" w:rsidRDefault="00F22495"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35065F06" w14:textId="507837B4" w:rsidR="00F22495" w:rsidRPr="0076225E" w:rsidRDefault="00F22495"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434AECEB" w14:textId="77777777" w:rsidR="005B2416" w:rsidRPr="0076225E" w:rsidRDefault="005B2416" w:rsidP="005B2416">
      <w:pPr>
        <w:framePr w:w="9949" w:wrap="around" w:vAnchor="text" w:hAnchor="page" w:x="1226" w:y="313"/>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rPr>
          <w:vanish/>
          <w:szCs w:val="24"/>
        </w:rPr>
      </w:pPr>
      <w:r w:rsidRPr="0076225E">
        <w:rPr>
          <w:rFonts w:ascii="Arial" w:hAnsi="Arial"/>
          <w:b/>
          <w:sz w:val="20"/>
        </w:rPr>
        <w:t>Figure 5</w:t>
      </w:r>
      <w:r w:rsidRPr="0076225E">
        <w:rPr>
          <w:rFonts w:ascii="Arial" w:hAnsi="Arial"/>
          <w:sz w:val="20"/>
        </w:rPr>
        <w:t xml:space="preserve">: </w:t>
      </w:r>
      <w:r w:rsidRPr="0076225E">
        <w:rPr>
          <w:sz w:val="20"/>
        </w:rPr>
        <w:t xml:space="preserve">pH-rate profile for acid </w:t>
      </w:r>
      <w:r w:rsidRPr="0076225E">
        <w:rPr>
          <w:rFonts w:ascii="Symbol" w:hAnsi="Symbol"/>
          <w:sz w:val="20"/>
        </w:rPr>
        <w:t>b</w:t>
      </w:r>
      <w:r w:rsidRPr="0076225E">
        <w:rPr>
          <w:sz w:val="20"/>
        </w:rPr>
        <w:t xml:space="preserve">-glucosidase (from Karatas, et al., </w:t>
      </w:r>
      <w:r w:rsidRPr="0076225E">
        <w:rPr>
          <w:i/>
          <w:iCs/>
          <w:sz w:val="20"/>
        </w:rPr>
        <w:t>Heliyon</w:t>
      </w:r>
      <w:r w:rsidRPr="0076225E">
        <w:rPr>
          <w:sz w:val="20"/>
        </w:rPr>
        <w:t xml:space="preserve"> </w:t>
      </w:r>
      <w:r w:rsidRPr="0076225E">
        <w:rPr>
          <w:b/>
          <w:bCs/>
          <w:sz w:val="20"/>
        </w:rPr>
        <w:t>6</w:t>
      </w:r>
      <w:r w:rsidRPr="0076225E">
        <w:rPr>
          <w:sz w:val="20"/>
        </w:rPr>
        <w:t xml:space="preserve"> e05191, 2020. ©All rights reserved.)</w:t>
      </w:r>
    </w:p>
    <w:p w14:paraId="2EFDDC05" w14:textId="5BEE674F" w:rsidR="00F22495" w:rsidRPr="0076225E" w:rsidRDefault="00F22495"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63FE2414" w14:textId="19E7EFD9" w:rsidR="00F22495" w:rsidRDefault="00F22495"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0C326085" w14:textId="77777777" w:rsidR="009612A9" w:rsidRPr="0076225E" w:rsidRDefault="009612A9"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37B7EED8" w14:textId="21552A5A" w:rsidR="00270CBF" w:rsidRPr="00A143B8" w:rsidRDefault="00270CBF" w:rsidP="0062411E">
      <w:pPr>
        <w:pStyle w:val="ListParagraph"/>
        <w:widowControl w:val="0"/>
        <w:numPr>
          <w:ilvl w:val="0"/>
          <w:numId w:val="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rsidRPr="00A143B8">
        <w:rPr>
          <w:color w:val="333333"/>
          <w:szCs w:val="24"/>
          <w:shd w:val="clear" w:color="auto" w:fill="FFFFFF"/>
        </w:rPr>
        <w:lastRenderedPageBreak/>
        <w:t>The Disease Ontology feature of the Protein Data Bank can be used to identify molecular entities associated with diseases identified by Mondo Disease Ontology identification number</w:t>
      </w:r>
      <w:r w:rsidR="00D31B8F" w:rsidRPr="00A143B8">
        <w:rPr>
          <w:color w:val="333333"/>
          <w:szCs w:val="24"/>
          <w:shd w:val="clear" w:color="auto" w:fill="FFFFFF"/>
        </w:rPr>
        <w:t xml:space="preserve">. </w:t>
      </w:r>
      <w:r w:rsidR="00A143B8" w:rsidRPr="00A143B8">
        <w:rPr>
          <w:color w:val="333333"/>
          <w:szCs w:val="24"/>
          <w:shd w:val="clear" w:color="auto" w:fill="FFFFFF"/>
        </w:rPr>
        <w:t xml:space="preserve">Using the search function, these molecular entities are retrieved as a group, which can be viewed to see if there are any common features to the structures that will provide new insights into the disease or could possibly be used to identify drug targets. </w:t>
      </w:r>
    </w:p>
    <w:p w14:paraId="5BA0405D" w14:textId="77777777" w:rsidR="00A143B8" w:rsidRDefault="00A143B8" w:rsidP="00A143B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0136646F" w14:textId="62301E23" w:rsidR="00A143B8" w:rsidRDefault="00A143B8" w:rsidP="00A143B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r>
        <w:t xml:space="preserve">Access the </w:t>
      </w:r>
      <w:hyperlink r:id="rId24" w:history="1">
        <w:r w:rsidRPr="00A143B8">
          <w:rPr>
            <w:rStyle w:val="Hyperlink"/>
          </w:rPr>
          <w:t>Disease Ontology feature</w:t>
        </w:r>
      </w:hyperlink>
      <w:r>
        <w:t xml:space="preserve"> at the Protein Data </w:t>
      </w:r>
      <w:r w:rsidR="00ED4765">
        <w:t>B</w:t>
      </w:r>
      <w:r>
        <w:t>ank and type “Gaucher disease type I” into the search bar. What is the MONDO number for this disease? How many polymer entities are associated with the disease? In general, what do these molecular entities have in common?</w:t>
      </w:r>
    </w:p>
    <w:p w14:paraId="3B1C540E" w14:textId="77777777" w:rsidR="00A143B8" w:rsidRDefault="00A143B8" w:rsidP="00A143B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65E5541E" w14:textId="77E123E4" w:rsidR="00B67E48" w:rsidRDefault="00B67E48" w:rsidP="00B67E48">
      <w:pPr>
        <w:pStyle w:val="ListParagraph"/>
        <w:widowControl w:val="0"/>
        <w:numPr>
          <w:ilvl w:val="0"/>
          <w:numId w:val="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rsidRPr="0076225E">
        <w:t xml:space="preserve">The </w:t>
      </w:r>
      <w:r w:rsidR="00A934D0" w:rsidRPr="0076225E">
        <w:t>scientific research team</w:t>
      </w:r>
      <w:r w:rsidRPr="0076225E">
        <w:t xml:space="preserve"> constructed two acid β-glucosidase mutants: K79N and R120Q. [Note: “K79N” means that a lysine (K) in the wild-type enzyme was replaced with an asparagine (N). “R120Q” means that an arginine (R) in the wild-type enzyme was replaced with a glutamine (Q).]  </w:t>
      </w:r>
    </w:p>
    <w:p w14:paraId="46419ECA" w14:textId="24AA271E" w:rsidR="001D2B08" w:rsidRDefault="001D2B08" w:rsidP="001D2B0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03AB6D00" w14:textId="33830D4D" w:rsidR="001D2B08" w:rsidRDefault="001D2B08" w:rsidP="001D2B08">
      <w:pPr>
        <w:ind w:left="360"/>
      </w:pPr>
      <w:r>
        <w:t xml:space="preserve">Use the program PyMOL to visualize the acid </w:t>
      </w:r>
      <w:r w:rsidRPr="00EB721A">
        <w:rPr>
          <w:rFonts w:ascii="Symbol" w:hAnsi="Symbol"/>
        </w:rPr>
        <w:t>b</w:t>
      </w:r>
      <w:r>
        <w:t xml:space="preserve">-glucosidase. The PDB code is 2F61. Note that the crystal structure is presented in the Protein Data Bank as a dimer, but if you look at the Biological Assembly box at the left, you’ll see that the </w:t>
      </w:r>
      <w:bookmarkStart w:id="10" w:name="_Hlk121775740"/>
      <w:r w:rsidR="00F339A7">
        <w:t>biological</w:t>
      </w:r>
      <w:r w:rsidR="00757A98">
        <w:t>ly</w:t>
      </w:r>
      <w:r w:rsidR="00F339A7">
        <w:t xml:space="preserve"> active </w:t>
      </w:r>
      <w:bookmarkEnd w:id="10"/>
      <w:r>
        <w:t>protein is a monomer. We can load the biological</w:t>
      </w:r>
      <w:r w:rsidR="00757A98">
        <w:t>ly</w:t>
      </w:r>
      <w:r>
        <w:t xml:space="preserve"> active monomer into PyMOL by entering </w:t>
      </w:r>
      <w:r w:rsidRPr="005F38C0">
        <w:rPr>
          <w:b/>
          <w:bCs/>
        </w:rPr>
        <w:t>fetch 2F61, type=pdb1</w:t>
      </w:r>
      <w:r>
        <w:t xml:space="preserve"> to load the monomer</w:t>
      </w:r>
      <w:bookmarkStart w:id="11" w:name="_Hlk106385451"/>
      <w:r w:rsidR="00F339A7">
        <w:t xml:space="preserve"> (and not the dimer)</w:t>
      </w:r>
      <w:r>
        <w:t>.</w:t>
      </w:r>
    </w:p>
    <w:p w14:paraId="6D37B001" w14:textId="77777777" w:rsidR="00E96AFA" w:rsidRPr="0066652A" w:rsidRDefault="00E96AFA" w:rsidP="001D2B08">
      <w:pPr>
        <w:ind w:left="360"/>
      </w:pPr>
    </w:p>
    <w:bookmarkEnd w:id="11"/>
    <w:p w14:paraId="62813B8A" w14:textId="77777777" w:rsidR="001D2B08" w:rsidRDefault="001D2B08" w:rsidP="001D2B08">
      <w:pPr>
        <w:pStyle w:val="ListParagraph"/>
        <w:widowControl w:val="0"/>
        <w:numPr>
          <w:ilvl w:val="1"/>
          <w:numId w:val="7"/>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Begin by hiding the waters.</w:t>
      </w:r>
    </w:p>
    <w:p w14:paraId="72536089" w14:textId="39159127" w:rsidR="001D2B08" w:rsidRPr="0076225E" w:rsidRDefault="001D2B08" w:rsidP="003B52DC">
      <w:pPr>
        <w:pStyle w:val="ListParagraph"/>
        <w:widowControl w:val="0"/>
        <w:numPr>
          <w:ilvl w:val="0"/>
          <w:numId w:val="19"/>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D</w:t>
      </w:r>
      <w:r w:rsidRPr="00EA5CDC">
        <w:t xml:space="preserve">isplay the different domains in </w:t>
      </w:r>
      <w:r>
        <w:t>different colors as described below</w:t>
      </w:r>
      <w:r w:rsidRPr="00EA5CDC">
        <w:t>.</w:t>
      </w:r>
      <w:r>
        <w:t xml:space="preserve"> It will be easiest to do this if you create and rename the domains as selections Domain I, Domain </w:t>
      </w:r>
      <w:r w:rsidR="006D5F9B">
        <w:t>II,</w:t>
      </w:r>
      <w:r>
        <w:t xml:space="preserve"> and Domain III.</w:t>
      </w:r>
    </w:p>
    <w:p w14:paraId="63420D21" w14:textId="551AE107" w:rsidR="004D675C" w:rsidRPr="0076225E" w:rsidRDefault="004D675C" w:rsidP="004D675C">
      <w:pPr>
        <w:pStyle w:val="ListParagraph"/>
        <w:widowControl w:val="0"/>
        <w:numPr>
          <w:ilvl w:val="2"/>
          <w:numId w:val="20"/>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pPr>
      <w:r w:rsidRPr="0076225E">
        <w:t>Domain I</w:t>
      </w:r>
      <w:r w:rsidR="00830EF4" w:rsidRPr="0076225E">
        <w:t xml:space="preserve"> (green)</w:t>
      </w:r>
      <w:r w:rsidRPr="0076225E">
        <w:t>: Residues 1-27 and 383-414 (this domain contains two disulfide bonds at 4-16 and 18-23 which are important for maintaining stability)</w:t>
      </w:r>
    </w:p>
    <w:p w14:paraId="77FE91A3" w14:textId="1B07ED0F" w:rsidR="004D675C" w:rsidRPr="0076225E" w:rsidRDefault="004D675C" w:rsidP="004D675C">
      <w:pPr>
        <w:pStyle w:val="ListParagraph"/>
        <w:widowControl w:val="0"/>
        <w:numPr>
          <w:ilvl w:val="2"/>
          <w:numId w:val="20"/>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pPr>
      <w:r w:rsidRPr="0076225E">
        <w:t>Domain II</w:t>
      </w:r>
      <w:r w:rsidR="00830EF4" w:rsidRPr="0076225E">
        <w:t xml:space="preserve"> (cyan)</w:t>
      </w:r>
      <w:r w:rsidRPr="0076225E">
        <w:t>: Residues 30-75 and 431-497</w:t>
      </w:r>
    </w:p>
    <w:p w14:paraId="7C261492" w14:textId="0BDF6BC5" w:rsidR="004D675C" w:rsidRPr="0076225E" w:rsidRDefault="004D675C" w:rsidP="004D675C">
      <w:pPr>
        <w:pStyle w:val="ListParagraph"/>
        <w:widowControl w:val="0"/>
        <w:numPr>
          <w:ilvl w:val="2"/>
          <w:numId w:val="20"/>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pPr>
      <w:r w:rsidRPr="0076225E">
        <w:t>Domain III</w:t>
      </w:r>
      <w:r w:rsidR="00830EF4" w:rsidRPr="0076225E">
        <w:t xml:space="preserve"> (magenta)</w:t>
      </w:r>
      <w:r w:rsidRPr="0076225E">
        <w:t>: Residues 76-381 and 416-430 (this domain contains the catalytic site)</w:t>
      </w:r>
    </w:p>
    <w:p w14:paraId="404BE5F5" w14:textId="56DBB496" w:rsidR="00E1290E" w:rsidRPr="0076225E" w:rsidRDefault="00A934D0" w:rsidP="00E1290E">
      <w:pPr>
        <w:pStyle w:val="NormalWeb"/>
        <w:widowControl w:val="0"/>
        <w:numPr>
          <w:ilvl w:val="1"/>
          <w:numId w:val="7"/>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beforeAutospacing="0" w:after="0" w:afterAutospacing="0"/>
      </w:pPr>
      <w:r w:rsidRPr="0076225E">
        <w:t>D</w:t>
      </w:r>
      <w:r w:rsidR="000E34CF" w:rsidRPr="0076225E">
        <w:t xml:space="preserve">isplay the two active site Glu residues as sticks, as well as the Lys79 and the Arg 120 residues, which are also located in the active site and </w:t>
      </w:r>
      <w:r w:rsidR="004D675C" w:rsidRPr="0076225E">
        <w:t>are able to impact catalytic activity, as we will see in Question 5</w:t>
      </w:r>
      <w:r w:rsidR="00BA0CC8" w:rsidRPr="0076225E">
        <w:t xml:space="preserve">. </w:t>
      </w:r>
      <w:r w:rsidR="006A7D96" w:rsidRPr="0076225E">
        <w:t xml:space="preserve">Use the </w:t>
      </w:r>
      <w:r w:rsidR="003D4157" w:rsidRPr="0076225E">
        <w:rPr>
          <w:rStyle w:val="Strong"/>
        </w:rPr>
        <w:t xml:space="preserve">set cartoon_side_chain_helper, on </w:t>
      </w:r>
      <w:r w:rsidR="006A7D96" w:rsidRPr="0076225E">
        <w:rPr>
          <w:rStyle w:val="Strong"/>
          <w:b w:val="0"/>
          <w:bCs w:val="0"/>
        </w:rPr>
        <w:t xml:space="preserve">command to display just the side chains. Displaying the sticks in a different color (perhaps coloring by element) will </w:t>
      </w:r>
      <w:r w:rsidR="003D4157" w:rsidRPr="0076225E">
        <w:rPr>
          <w:rStyle w:val="Strong"/>
          <w:b w:val="0"/>
          <w:bCs w:val="0"/>
        </w:rPr>
        <w:t>allow</w:t>
      </w:r>
      <w:r w:rsidR="006A7D96" w:rsidRPr="0076225E">
        <w:rPr>
          <w:rStyle w:val="Strong"/>
          <w:b w:val="0"/>
          <w:bCs w:val="0"/>
        </w:rPr>
        <w:t xml:space="preserve"> these side chains to be distinguished from the main chain cartoon.</w:t>
      </w:r>
    </w:p>
    <w:p w14:paraId="174F3294" w14:textId="32FA21DE" w:rsidR="00E1290E" w:rsidRPr="0076225E" w:rsidRDefault="00E1290E" w:rsidP="00E1290E">
      <w:pPr>
        <w:pStyle w:val="ListParagraph"/>
        <w:widowControl w:val="0"/>
        <w:numPr>
          <w:ilvl w:val="1"/>
          <w:numId w:val="7"/>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76225E">
        <w:t xml:space="preserve">Are there </w:t>
      </w:r>
      <w:r w:rsidR="00B2122D">
        <w:t>noncovalent</w:t>
      </w:r>
      <w:r w:rsidRPr="0076225E">
        <w:t xml:space="preserve"> contacts between the active site Glu and the Lys 79 and</w:t>
      </w:r>
      <w:r w:rsidR="00B2122D">
        <w:t>/or</w:t>
      </w:r>
      <w:r w:rsidRPr="0076225E">
        <w:t xml:space="preserve"> Arg 120 residues, which also resid</w:t>
      </w:r>
      <w:r w:rsidR="00EB25EA" w:rsidRPr="0076225E">
        <w:t>e</w:t>
      </w:r>
      <w:r w:rsidRPr="0076225E">
        <w:t xml:space="preserve"> in the active site</w:t>
      </w:r>
      <w:r w:rsidR="00EB25EA" w:rsidRPr="0076225E">
        <w:t xml:space="preserve">? </w:t>
      </w:r>
      <w:r w:rsidRPr="0076225E">
        <w:t>Use the measurement tool to investigate this question, keeping the following in mind:</w:t>
      </w:r>
    </w:p>
    <w:p w14:paraId="71982AE4" w14:textId="17C262A6" w:rsidR="00A934D0" w:rsidRPr="0076225E" w:rsidRDefault="00A934D0" w:rsidP="00E1290E">
      <w:pPr>
        <w:pStyle w:val="ListParagraph"/>
        <w:widowControl w:val="0"/>
        <w:numPr>
          <w:ilvl w:val="2"/>
          <w:numId w:val="9"/>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pPr>
      <w:r w:rsidRPr="0076225E">
        <w:t>Hydrogen bonds are typically 2.8-3.4 Å in length.</w:t>
      </w:r>
    </w:p>
    <w:p w14:paraId="75B26323" w14:textId="77777777" w:rsidR="00A934D0" w:rsidRPr="0076225E" w:rsidRDefault="00A934D0" w:rsidP="00E1290E">
      <w:pPr>
        <w:pStyle w:val="ListParagraph"/>
        <w:widowControl w:val="0"/>
        <w:numPr>
          <w:ilvl w:val="2"/>
          <w:numId w:val="9"/>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pPr>
      <w:r w:rsidRPr="0076225E">
        <w:t>Ionic bonds are typically shorter than hydrogen bonds.</w:t>
      </w:r>
    </w:p>
    <w:p w14:paraId="57922EB9" w14:textId="0DE0ABFB" w:rsidR="00A934D0" w:rsidRDefault="00A934D0" w:rsidP="00E1290E">
      <w:pPr>
        <w:pStyle w:val="ListParagraph"/>
        <w:widowControl w:val="0"/>
        <w:numPr>
          <w:ilvl w:val="2"/>
          <w:numId w:val="9"/>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pPr>
      <w:r w:rsidRPr="0076225E">
        <w:t>London dispersion forces (or van der Waals—VDW—forces) are typically 3.8-4.2 Å in length.</w:t>
      </w:r>
    </w:p>
    <w:p w14:paraId="70B03135" w14:textId="77777777" w:rsidR="00B2122D" w:rsidRDefault="00B2122D" w:rsidP="00B2122D">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403E36F" w14:textId="3C664B83" w:rsidR="00F43581" w:rsidRPr="0076225E" w:rsidRDefault="00F43581" w:rsidP="00F43581">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bookmarkStart w:id="12" w:name="_Hlk121778271"/>
      <w:r>
        <w:t xml:space="preserve">In your case study, provide a minimum of two images </w:t>
      </w:r>
      <w:r w:rsidR="002159D2">
        <w:t xml:space="preserve">(saved as .png files and imported into your document) </w:t>
      </w:r>
      <w:r>
        <w:t>in which you display the work as directed in this question. Be sure to provide figure captions to orient the reader.</w:t>
      </w:r>
    </w:p>
    <w:bookmarkEnd w:id="12"/>
    <w:p w14:paraId="5CE6BB92" w14:textId="36A78ED0" w:rsidR="005845AC" w:rsidRDefault="005845AC">
      <w:r>
        <w:br w:type="page"/>
      </w:r>
    </w:p>
    <w:p w14:paraId="287ABAB4" w14:textId="49255229" w:rsidR="00D700DF" w:rsidRDefault="005845AC" w:rsidP="00817B99">
      <w:pPr>
        <w:pStyle w:val="ListParagraph"/>
        <w:widowControl w:val="0"/>
        <w:numPr>
          <w:ilvl w:val="0"/>
          <w:numId w:val="3"/>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lastRenderedPageBreak/>
        <w:drawing>
          <wp:anchor distT="0" distB="0" distL="114300" distR="114300" simplePos="0" relativeHeight="251660286" behindDoc="0" locked="0" layoutInCell="1" allowOverlap="1" wp14:anchorId="5B79E125" wp14:editId="467BDA46">
            <wp:simplePos x="0" y="0"/>
            <wp:positionH relativeFrom="margin">
              <wp:posOffset>3363856</wp:posOffset>
            </wp:positionH>
            <wp:positionV relativeFrom="paragraph">
              <wp:posOffset>316342</wp:posOffset>
            </wp:positionV>
            <wp:extent cx="2862943" cy="3070685"/>
            <wp:effectExtent l="0" t="0" r="0" b="0"/>
            <wp:wrapSquare wrapText="bothSides"/>
            <wp:docPr id="621750217" name="Picture 1" descr="A graph of activity and ac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50217" name="Picture 1" descr="A graph of activity and activity&#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62943" cy="3070685"/>
                    </a:xfrm>
                    <a:prstGeom prst="rect">
                      <a:avLst/>
                    </a:prstGeom>
                  </pic:spPr>
                </pic:pic>
              </a:graphicData>
            </a:graphic>
            <wp14:sizeRelH relativeFrom="page">
              <wp14:pctWidth>0</wp14:pctWidth>
            </wp14:sizeRelH>
            <wp14:sizeRelV relativeFrom="page">
              <wp14:pctHeight>0</wp14:pctHeight>
            </wp14:sizeRelV>
          </wp:anchor>
        </w:drawing>
      </w:r>
      <w:r w:rsidR="00D700DF">
        <w:t>The activit</w:t>
      </w:r>
      <w:r w:rsidR="000447DA">
        <w:t>ies</w:t>
      </w:r>
      <w:r w:rsidR="00D700DF">
        <w:t xml:space="preserve"> of the K79N and R120Q mutants w</w:t>
      </w:r>
      <w:r w:rsidR="000447DA">
        <w:t>ere</w:t>
      </w:r>
      <w:r w:rsidR="00D700DF">
        <w:t xml:space="preserve"> measured and </w:t>
      </w:r>
      <w:r w:rsidR="000447DA">
        <w:t>are</w:t>
      </w:r>
      <w:r w:rsidR="00D700DF">
        <w:t xml:space="preserve"> shown in Figure </w:t>
      </w:r>
      <w:r w:rsidR="0092322E">
        <w:t>6</w:t>
      </w:r>
      <w:r w:rsidR="00D700DF">
        <w:t xml:space="preserve">. Additional kinetic data is shown in Table </w:t>
      </w:r>
      <w:r w:rsidR="005B2416">
        <w:t>2</w:t>
      </w:r>
      <w:r w:rsidR="00D700DF">
        <w:t xml:space="preserve">. </w:t>
      </w:r>
    </w:p>
    <w:p w14:paraId="30C63B87" w14:textId="2E7F796C" w:rsidR="00B67E48" w:rsidRDefault="00B67E48"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vanish/>
        </w:rPr>
      </w:pPr>
    </w:p>
    <w:p w14:paraId="3FE68083" w14:textId="77777777" w:rsidR="00B67E48" w:rsidRDefault="00B67E48"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vanish/>
        </w:rPr>
      </w:pPr>
    </w:p>
    <w:p w14:paraId="08DCEC99" w14:textId="77777777" w:rsidR="00B67E48" w:rsidRDefault="00B67E48"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2C610A12" w14:textId="4CAAA268" w:rsidR="00B67E48" w:rsidRPr="0069170E" w:rsidRDefault="005D1C1F" w:rsidP="005D1C1F">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 w:val="20"/>
        </w:rPr>
      </w:pPr>
      <w:r w:rsidRPr="0069170E">
        <w:rPr>
          <w:rFonts w:ascii="Arial" w:hAnsi="Arial" w:cs="Arial"/>
          <w:b/>
          <w:bCs/>
          <w:sz w:val="20"/>
        </w:rPr>
        <w:t xml:space="preserve">Table </w:t>
      </w:r>
      <w:r w:rsidR="005B2416">
        <w:rPr>
          <w:rFonts w:ascii="Arial" w:hAnsi="Arial" w:cs="Arial"/>
          <w:b/>
          <w:bCs/>
          <w:sz w:val="20"/>
        </w:rPr>
        <w:t>2</w:t>
      </w:r>
      <w:r w:rsidR="0069170E" w:rsidRPr="0069170E">
        <w:rPr>
          <w:sz w:val="20"/>
        </w:rPr>
        <w:t xml:space="preserve">: </w:t>
      </w:r>
      <w:r w:rsidR="0069170E" w:rsidRPr="00394776">
        <w:rPr>
          <w:i/>
          <w:iCs/>
          <w:sz w:val="20"/>
        </w:rPr>
        <w:t>K</w:t>
      </w:r>
      <w:r w:rsidR="0069170E" w:rsidRPr="00394776">
        <w:rPr>
          <w:sz w:val="20"/>
          <w:vertAlign w:val="subscript"/>
        </w:rPr>
        <w:t>M</w:t>
      </w:r>
      <w:r w:rsidR="0069170E" w:rsidRPr="0069170E">
        <w:rPr>
          <w:sz w:val="20"/>
        </w:rPr>
        <w:t xml:space="preserve"> values for glucosidase enzymes</w:t>
      </w:r>
    </w:p>
    <w:tbl>
      <w:tblPr>
        <w:tblStyle w:val="TableGrid"/>
        <w:tblW w:w="0" w:type="auto"/>
        <w:tblInd w:w="355" w:type="dxa"/>
        <w:tblLook w:val="04A0" w:firstRow="1" w:lastRow="0" w:firstColumn="1" w:lastColumn="0" w:noHBand="0" w:noVBand="1"/>
      </w:tblPr>
      <w:tblGrid>
        <w:gridCol w:w="1710"/>
        <w:gridCol w:w="1980"/>
      </w:tblGrid>
      <w:tr w:rsidR="0069170E" w14:paraId="3B912FC3" w14:textId="77777777" w:rsidTr="0069170E">
        <w:tc>
          <w:tcPr>
            <w:tcW w:w="1710" w:type="dxa"/>
            <w:vAlign w:val="center"/>
          </w:tcPr>
          <w:p w14:paraId="780F5298" w14:textId="77777777" w:rsidR="0069170E" w:rsidRDefault="0069170E" w:rsidP="0069170E">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tc>
        <w:tc>
          <w:tcPr>
            <w:tcW w:w="1980" w:type="dxa"/>
            <w:vAlign w:val="center"/>
          </w:tcPr>
          <w:p w14:paraId="08518CBF" w14:textId="315F5E7C" w:rsidR="0069170E" w:rsidRDefault="0069170E" w:rsidP="0069170E">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jc w:val="center"/>
            </w:pPr>
            <w:r w:rsidRPr="00394776">
              <w:rPr>
                <w:i/>
                <w:iCs/>
              </w:rPr>
              <w:t>K</w:t>
            </w:r>
            <w:r w:rsidRPr="0069170E">
              <w:rPr>
                <w:vertAlign w:val="subscript"/>
              </w:rPr>
              <w:t>M</w:t>
            </w:r>
            <w:r>
              <w:t xml:space="preserve"> (mM)</w:t>
            </w:r>
          </w:p>
        </w:tc>
      </w:tr>
      <w:tr w:rsidR="0069170E" w14:paraId="7D60948C" w14:textId="77777777" w:rsidTr="00394776">
        <w:tc>
          <w:tcPr>
            <w:tcW w:w="1710" w:type="dxa"/>
            <w:vAlign w:val="center"/>
          </w:tcPr>
          <w:p w14:paraId="4BE22468" w14:textId="03662D7D" w:rsidR="0069170E" w:rsidRDefault="00D31B8F" w:rsidP="0069170E">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t>Wild type</w:t>
            </w:r>
          </w:p>
        </w:tc>
        <w:tc>
          <w:tcPr>
            <w:tcW w:w="1980" w:type="dxa"/>
            <w:vAlign w:val="center"/>
          </w:tcPr>
          <w:p w14:paraId="105A905A" w14:textId="76825C20" w:rsidR="0069170E" w:rsidRDefault="0069170E" w:rsidP="00394776">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jc w:val="center"/>
            </w:pPr>
            <w:r>
              <w:t>1.9 ± 0.5</w:t>
            </w:r>
          </w:p>
        </w:tc>
      </w:tr>
      <w:tr w:rsidR="0069170E" w14:paraId="72A32EA3" w14:textId="77777777" w:rsidTr="00394776">
        <w:tc>
          <w:tcPr>
            <w:tcW w:w="1710" w:type="dxa"/>
            <w:vAlign w:val="center"/>
          </w:tcPr>
          <w:p w14:paraId="7D2FC67A" w14:textId="5CA6AE1E" w:rsidR="0069170E" w:rsidRDefault="0069170E" w:rsidP="0069170E">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t>K79N</w:t>
            </w:r>
          </w:p>
        </w:tc>
        <w:tc>
          <w:tcPr>
            <w:tcW w:w="1980" w:type="dxa"/>
            <w:vAlign w:val="center"/>
          </w:tcPr>
          <w:p w14:paraId="6291136D" w14:textId="472196C2" w:rsidR="0069170E" w:rsidRDefault="0069170E" w:rsidP="00394776">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jc w:val="center"/>
            </w:pPr>
            <w:r>
              <w:t>2.4 ± 0.6</w:t>
            </w:r>
          </w:p>
        </w:tc>
      </w:tr>
      <w:tr w:rsidR="0069170E" w14:paraId="26B9B616" w14:textId="77777777" w:rsidTr="00394776">
        <w:tc>
          <w:tcPr>
            <w:tcW w:w="1710" w:type="dxa"/>
            <w:vAlign w:val="center"/>
          </w:tcPr>
          <w:p w14:paraId="79410E95" w14:textId="2F1D4FBE" w:rsidR="0069170E" w:rsidRDefault="0069170E" w:rsidP="0069170E">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t>R120Q</w:t>
            </w:r>
          </w:p>
        </w:tc>
        <w:tc>
          <w:tcPr>
            <w:tcW w:w="1980" w:type="dxa"/>
            <w:vAlign w:val="center"/>
          </w:tcPr>
          <w:p w14:paraId="64803D3A" w14:textId="7D80A6B4" w:rsidR="0069170E" w:rsidRDefault="0069170E" w:rsidP="00394776">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jc w:val="center"/>
            </w:pPr>
            <w:r>
              <w:t>2    ±  1</w:t>
            </w:r>
          </w:p>
        </w:tc>
      </w:tr>
    </w:tbl>
    <w:p w14:paraId="21CC228B" w14:textId="6604A7DD" w:rsidR="00B67E48" w:rsidRDefault="00B67E48"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p>
    <w:p w14:paraId="2E895984" w14:textId="549002B9" w:rsidR="00EB721A" w:rsidRDefault="00EB721A"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251BB690" w14:textId="77777777" w:rsidR="00EB721A" w:rsidRDefault="00EB721A"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705F9B82" w14:textId="1C3607EE" w:rsidR="00EB721A" w:rsidRDefault="00EB721A"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5FDAFBBE" w14:textId="257BAE31" w:rsidR="00394776" w:rsidRDefault="00394776"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7F749AD1" w14:textId="77777777" w:rsidR="005845AC" w:rsidRPr="005D1C1F" w:rsidRDefault="005845AC" w:rsidP="005845AC">
      <w:pPr>
        <w:framePr w:w="4779" w:wrap="around" w:vAnchor="text" w:hAnchor="page" w:x="1441" w:y="248"/>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vanish/>
          <w:sz w:val="20"/>
        </w:rPr>
      </w:pPr>
      <w:r w:rsidRPr="005D1C1F">
        <w:rPr>
          <w:rFonts w:ascii="Arial" w:hAnsi="Arial"/>
          <w:b/>
          <w:sz w:val="20"/>
        </w:rPr>
        <w:t xml:space="preserve">Figure </w:t>
      </w:r>
      <w:r>
        <w:rPr>
          <w:rFonts w:ascii="Arial" w:hAnsi="Arial"/>
          <w:b/>
          <w:sz w:val="20"/>
        </w:rPr>
        <w:t>6</w:t>
      </w:r>
      <w:r w:rsidRPr="005D1C1F">
        <w:rPr>
          <w:rFonts w:ascii="Arial" w:hAnsi="Arial"/>
          <w:sz w:val="20"/>
        </w:rPr>
        <w:t xml:space="preserve">: </w:t>
      </w:r>
      <w:r w:rsidRPr="005D1C1F">
        <w:rPr>
          <w:sz w:val="20"/>
        </w:rPr>
        <w:t>Glucosidase activity of two mutants, K79N and R120Q</w:t>
      </w:r>
      <w:r>
        <w:rPr>
          <w:sz w:val="20"/>
        </w:rPr>
        <w:t xml:space="preserve"> (at right)</w:t>
      </w:r>
      <w:r w:rsidRPr="005D1C1F">
        <w:rPr>
          <w:sz w:val="20"/>
        </w:rPr>
        <w:t>, compared to the wild-type enzyme (</w:t>
      </w:r>
      <w:r>
        <w:rPr>
          <w:sz w:val="20"/>
        </w:rPr>
        <w:t xml:space="preserve">figure constructed </w:t>
      </w:r>
      <w:r w:rsidRPr="005D1C1F">
        <w:rPr>
          <w:sz w:val="20"/>
        </w:rPr>
        <w:t>from data presented in Liou, et al</w:t>
      </w:r>
      <w:r>
        <w:rPr>
          <w:sz w:val="20"/>
        </w:rPr>
        <w:t>.</w:t>
      </w:r>
      <w:r w:rsidRPr="005D1C1F">
        <w:rPr>
          <w:sz w:val="20"/>
        </w:rPr>
        <w:t>).</w:t>
      </w:r>
    </w:p>
    <w:p w14:paraId="14D66326" w14:textId="77777777" w:rsidR="00817B99" w:rsidRDefault="00817B99"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50C873DE" w14:textId="07D2CB17" w:rsidR="00394776" w:rsidRDefault="00394776"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3CC5E01C" w14:textId="0E337934" w:rsidR="00230FD2" w:rsidRDefault="00230FD2"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51E1572B" w14:textId="77777777" w:rsidR="009612A9" w:rsidRDefault="009612A9"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0397B4CB" w14:textId="77777777" w:rsidR="009612A9" w:rsidRDefault="009612A9"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0098D985" w14:textId="77777777" w:rsidR="009612A9" w:rsidRDefault="009612A9"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024EBC03" w14:textId="77777777" w:rsidR="009612A9" w:rsidRDefault="009612A9" w:rsidP="00B67E48">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25C05FF4" w14:textId="7FD53117" w:rsidR="003D4157" w:rsidRDefault="00D5351A" w:rsidP="00E96AFA">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bookmarkStart w:id="13" w:name="_Hlk121777663"/>
      <w:r>
        <w:t>Write a short paragraph in which you compare the activities of the mutants with the wild-type enzyme, describing the results as shown in Figure 6. Then propose hypotheses in which you explain how the amino acid substitutions in each of the mutants results in a non-functional protein</w:t>
      </w:r>
      <w:r w:rsidR="00230FD2">
        <w:t>, using the information in Figure 4 and Question 3</w:t>
      </w:r>
      <w:r>
        <w:t xml:space="preserve">. </w:t>
      </w:r>
    </w:p>
    <w:p w14:paraId="320B7DE9" w14:textId="77777777" w:rsidR="009612A9" w:rsidRDefault="009612A9" w:rsidP="00E96AFA">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p>
    <w:p w14:paraId="6042B931" w14:textId="69639F08" w:rsidR="00CC29E0" w:rsidRPr="00656640" w:rsidRDefault="00EB25EA" w:rsidP="00ED2F8A">
      <w:pPr>
        <w:pStyle w:val="ListParagraph"/>
        <w:widowControl w:val="0"/>
        <w:numPr>
          <w:ilvl w:val="0"/>
          <w:numId w:val="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Hyperlink"/>
          <w:color w:val="auto"/>
          <w:u w:val="none"/>
        </w:rPr>
      </w:pPr>
      <w:bookmarkStart w:id="14" w:name="_Hlk168047834"/>
      <w:bookmarkEnd w:id="13"/>
      <w:r>
        <w:t>Next,</w:t>
      </w:r>
      <w:r w:rsidR="00983384">
        <w:t xml:space="preserve"> we will investigate how the inhibitor </w:t>
      </w:r>
      <w:r w:rsidR="00CC29E0">
        <w:t>NB-DNJ bind</w:t>
      </w:r>
      <w:r w:rsidR="00983384">
        <w:t>s to the glucosidase.</w:t>
      </w:r>
      <w:r w:rsidR="00C62805">
        <w:t xml:space="preserve"> The compound NB-DNJ has been approved for treatment of Gaucher’s disease; its trade name is </w:t>
      </w:r>
      <w:r w:rsidR="00D31B8F">
        <w:rPr>
          <w:szCs w:val="24"/>
        </w:rPr>
        <w:t>Zavesca</w:t>
      </w:r>
      <w:r w:rsidR="00D31B8F" w:rsidRPr="00C35A46">
        <w:rPr>
          <w:szCs w:val="24"/>
          <w:vertAlign w:val="superscript"/>
        </w:rPr>
        <w:t>TM,</w:t>
      </w:r>
      <w:r w:rsidR="00C62805">
        <w:rPr>
          <w:szCs w:val="24"/>
        </w:rPr>
        <w:t xml:space="preserve"> and it is the drug prescribed by Lila’s physician to treat her symptoms</w:t>
      </w:r>
      <w:bookmarkEnd w:id="14"/>
      <w:r w:rsidR="00D31B8F">
        <w:rPr>
          <w:szCs w:val="24"/>
        </w:rPr>
        <w:t>.</w:t>
      </w:r>
      <w:r w:rsidR="00D31B8F">
        <w:t xml:space="preserve"> </w:t>
      </w:r>
      <w:r w:rsidR="00983384">
        <w:t xml:space="preserve">The glucosidase enzyme crystal structure, with the NB-DNJ inhibitor co-crystallized, has been determined. The PDB code is 2V3D. </w:t>
      </w:r>
      <w:r w:rsidR="00CC29E0">
        <w:t xml:space="preserve">We will visualize the active site using the procedure described by “Dr. Molecule” in her video “Active Site in Minutes” which can be found here: </w:t>
      </w:r>
      <w:hyperlink r:id="rId26" w:history="1">
        <w:r w:rsidR="00CC29E0" w:rsidRPr="00F24A9E">
          <w:rPr>
            <w:rStyle w:val="Hyperlink"/>
          </w:rPr>
          <w:t>https://www.youtube.com/watch?v=mBlMI82JRfI&amp;t=1399s</w:t>
        </w:r>
      </w:hyperlink>
    </w:p>
    <w:p w14:paraId="101DBFAA" w14:textId="4E40514C" w:rsidR="00B57C3A" w:rsidRDefault="004D675C" w:rsidP="00656640">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pPr>
      <w:r>
        <w:t>I</w:t>
      </w:r>
      <w:r w:rsidR="00B57C3A">
        <w:t>n your case study, be sure to display several images in which you demonstrate how you completed the following exercises.</w:t>
      </w:r>
    </w:p>
    <w:p w14:paraId="2144CB3D" w14:textId="3F38569A" w:rsidR="003555B8" w:rsidRPr="003555B8" w:rsidRDefault="00226DDE" w:rsidP="00226DDE">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Load the biological</w:t>
      </w:r>
      <w:r w:rsidR="00B00933">
        <w:rPr>
          <w:szCs w:val="24"/>
        </w:rPr>
        <w:t>ly</w:t>
      </w:r>
      <w:r>
        <w:rPr>
          <w:szCs w:val="24"/>
        </w:rPr>
        <w:t xml:space="preserve"> active monomer by typing </w:t>
      </w:r>
      <w:r w:rsidRPr="005F38C0">
        <w:rPr>
          <w:b/>
          <w:bCs/>
        </w:rPr>
        <w:t>fetch 2</w:t>
      </w:r>
      <w:r>
        <w:rPr>
          <w:b/>
          <w:bCs/>
        </w:rPr>
        <w:t>V3D</w:t>
      </w:r>
      <w:r w:rsidRPr="005F38C0">
        <w:rPr>
          <w:b/>
          <w:bCs/>
        </w:rPr>
        <w:t>, type=pdb1</w:t>
      </w:r>
      <w:r>
        <w:t xml:space="preserve"> in the command line. </w:t>
      </w:r>
    </w:p>
    <w:p w14:paraId="2084AB3B" w14:textId="1C206163" w:rsidR="00226DDE" w:rsidRPr="00F11BFD" w:rsidRDefault="00226DDE" w:rsidP="00226DDE">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t xml:space="preserve">Hide the </w:t>
      </w:r>
      <w:r>
        <w:rPr>
          <w:szCs w:val="24"/>
        </w:rPr>
        <w:t>waters.</w:t>
      </w:r>
    </w:p>
    <w:p w14:paraId="2AF978F5" w14:textId="030233B5" w:rsidR="00B57C3A" w:rsidRPr="00EB1F29" w:rsidRDefault="00B57C3A" w:rsidP="00B57C3A">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sidRPr="00EB1F29">
        <w:rPr>
          <w:szCs w:val="24"/>
        </w:rPr>
        <w:t>Hide all of the ligands except for the N</w:t>
      </w:r>
      <w:r>
        <w:rPr>
          <w:szCs w:val="24"/>
        </w:rPr>
        <w:t>B</w:t>
      </w:r>
      <w:r w:rsidRPr="00EB1F29">
        <w:rPr>
          <w:szCs w:val="24"/>
        </w:rPr>
        <w:t xml:space="preserve">-DNJ bound to the A chain </w:t>
      </w:r>
      <w:r w:rsidR="005B2416">
        <w:rPr>
          <w:szCs w:val="24"/>
        </w:rPr>
        <w:t>(</w:t>
      </w:r>
      <w:r w:rsidR="00656D5A">
        <w:rPr>
          <w:szCs w:val="24"/>
        </w:rPr>
        <w:t xml:space="preserve">NB-DNJ is denoted as </w:t>
      </w:r>
      <w:r w:rsidRPr="00656D5A">
        <w:rPr>
          <w:b/>
          <w:bCs/>
          <w:szCs w:val="24"/>
        </w:rPr>
        <w:t>NBV</w:t>
      </w:r>
      <w:r w:rsidRPr="00EB1F29">
        <w:rPr>
          <w:szCs w:val="24"/>
        </w:rPr>
        <w:t xml:space="preserve"> in PyMOL)</w:t>
      </w:r>
      <w:r w:rsidR="00FA08B4">
        <w:rPr>
          <w:szCs w:val="24"/>
        </w:rPr>
        <w:t xml:space="preserve">. Create selection </w:t>
      </w:r>
      <w:r w:rsidR="00FA08B4" w:rsidRPr="00FA08B4">
        <w:rPr>
          <w:b/>
          <w:bCs/>
          <w:szCs w:val="24"/>
        </w:rPr>
        <w:t>NBV</w:t>
      </w:r>
      <w:r w:rsidR="00FA08B4">
        <w:rPr>
          <w:szCs w:val="24"/>
        </w:rPr>
        <w:t xml:space="preserve"> so that you can refer to it as you build your image.</w:t>
      </w:r>
    </w:p>
    <w:p w14:paraId="3FA2082D" w14:textId="14C6600C" w:rsidR="00B57C3A" w:rsidRPr="000567DB" w:rsidRDefault="00B57C3A" w:rsidP="00B57C3A">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rStyle w:val="Strong"/>
          <w:szCs w:val="24"/>
        </w:rPr>
      </w:pPr>
      <w:r w:rsidRPr="00EB1F29">
        <w:rPr>
          <w:szCs w:val="24"/>
        </w:rPr>
        <w:t>Show the active site Glu resides (</w:t>
      </w:r>
      <w:bookmarkStart w:id="15" w:name="_Hlk105164028"/>
      <w:r w:rsidRPr="00EB1F29">
        <w:rPr>
          <w:szCs w:val="24"/>
        </w:rPr>
        <w:t>Glu</w:t>
      </w:r>
      <w:r w:rsidRPr="00F11BFD">
        <w:rPr>
          <w:szCs w:val="24"/>
          <w:vertAlign w:val="superscript"/>
        </w:rPr>
        <w:t>235</w:t>
      </w:r>
      <w:r w:rsidRPr="00EB1F29">
        <w:rPr>
          <w:szCs w:val="24"/>
        </w:rPr>
        <w:t xml:space="preserve"> and Glu</w:t>
      </w:r>
      <w:r w:rsidRPr="00F11BFD">
        <w:rPr>
          <w:szCs w:val="24"/>
          <w:vertAlign w:val="superscript"/>
        </w:rPr>
        <w:t>340</w:t>
      </w:r>
      <w:bookmarkEnd w:id="15"/>
      <w:r w:rsidRPr="00EB1F29">
        <w:rPr>
          <w:szCs w:val="24"/>
        </w:rPr>
        <w:t xml:space="preserve">) as sticks, in a contrasting color from Chain A, displayed as a cartoon. Use the </w:t>
      </w:r>
      <w:r w:rsidRPr="00EB1F29">
        <w:rPr>
          <w:rStyle w:val="Strong"/>
          <w:szCs w:val="24"/>
        </w:rPr>
        <w:t xml:space="preserve">set cartoon_side_chain_helper, on </w:t>
      </w:r>
      <w:r w:rsidRPr="00EB1F29">
        <w:rPr>
          <w:rStyle w:val="Strong"/>
          <w:b w:val="0"/>
          <w:bCs w:val="0"/>
          <w:szCs w:val="24"/>
        </w:rPr>
        <w:t>command to show just the Glu side chains.</w:t>
      </w:r>
    </w:p>
    <w:p w14:paraId="46207087" w14:textId="7256846A" w:rsidR="00B57C3A" w:rsidRPr="00FA08B4" w:rsidRDefault="00B57C3A" w:rsidP="00B57C3A">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rStyle w:val="Strong"/>
          <w:b w:val="0"/>
          <w:bCs w:val="0"/>
          <w:szCs w:val="24"/>
        </w:rPr>
      </w:pPr>
      <w:r>
        <w:rPr>
          <w:rStyle w:val="Strong"/>
          <w:b w:val="0"/>
          <w:bCs w:val="0"/>
          <w:szCs w:val="24"/>
        </w:rPr>
        <w:t>Show all amino acid residues within 5 Å of the active site</w:t>
      </w:r>
      <w:r w:rsidR="00FA08B4">
        <w:rPr>
          <w:rStyle w:val="Strong"/>
          <w:b w:val="0"/>
          <w:bCs w:val="0"/>
          <w:szCs w:val="24"/>
        </w:rPr>
        <w:t xml:space="preserve"> by using the </w:t>
      </w:r>
      <w:r w:rsidR="00FA08B4" w:rsidRPr="00FA08B4">
        <w:rPr>
          <w:rStyle w:val="Strong"/>
          <w:b w:val="0"/>
          <w:bCs w:val="0"/>
          <w:szCs w:val="24"/>
        </w:rPr>
        <w:t>command</w:t>
      </w:r>
      <w:r w:rsidR="00FA08B4" w:rsidRPr="00FA08B4">
        <w:rPr>
          <w:rStyle w:val="Strong"/>
          <w:szCs w:val="24"/>
        </w:rPr>
        <w:t xml:space="preserve"> </w:t>
      </w:r>
      <w:r w:rsidR="00FA08B4" w:rsidRPr="00FA08B4">
        <w:rPr>
          <w:b/>
          <w:bCs/>
        </w:rPr>
        <w:t xml:space="preserve">show sticks, byres all within 5 of </w:t>
      </w:r>
      <w:r w:rsidR="00FA08B4">
        <w:rPr>
          <w:b/>
          <w:bCs/>
        </w:rPr>
        <w:t xml:space="preserve">NBV </w:t>
      </w:r>
      <w:r w:rsidR="00FA08B4">
        <w:t>as described in the video.</w:t>
      </w:r>
    </w:p>
    <w:p w14:paraId="6589BE23" w14:textId="5594A9C0" w:rsidR="00B57C3A" w:rsidRPr="00CA39E2" w:rsidRDefault="00B57C3A" w:rsidP="00CA39E2">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rStyle w:val="Strong"/>
          <w:szCs w:val="24"/>
        </w:rPr>
      </w:pPr>
      <w:r>
        <w:rPr>
          <w:rStyle w:val="Strong"/>
          <w:b w:val="0"/>
          <w:bCs w:val="0"/>
          <w:szCs w:val="24"/>
        </w:rPr>
        <w:t>Show polar contacts between the NB-DNJ and amino acid side chains.</w:t>
      </w:r>
      <w:r w:rsidR="00CA39E2">
        <w:rPr>
          <w:rStyle w:val="Strong"/>
          <w:b w:val="0"/>
          <w:bCs w:val="0"/>
          <w:szCs w:val="24"/>
        </w:rPr>
        <w:t xml:space="preserve"> Are there any contacts with either of the active site Glu residues?</w:t>
      </w:r>
    </w:p>
    <w:p w14:paraId="70502F69" w14:textId="03747830" w:rsidR="00B57C3A" w:rsidRPr="000567DB" w:rsidRDefault="00B57C3A" w:rsidP="00B57C3A">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rStyle w:val="Strong"/>
          <w:szCs w:val="24"/>
        </w:rPr>
      </w:pPr>
      <w:r>
        <w:rPr>
          <w:rStyle w:val="Strong"/>
          <w:b w:val="0"/>
          <w:bCs w:val="0"/>
          <w:szCs w:val="24"/>
        </w:rPr>
        <w:lastRenderedPageBreak/>
        <w:t xml:space="preserve">Show any </w:t>
      </w:r>
      <w:r w:rsidR="000817AC">
        <w:rPr>
          <w:rStyle w:val="Strong"/>
          <w:b w:val="0"/>
          <w:bCs w:val="0"/>
          <w:szCs w:val="24"/>
        </w:rPr>
        <w:t>contacts</w:t>
      </w:r>
      <w:r>
        <w:rPr>
          <w:rStyle w:val="Strong"/>
          <w:b w:val="0"/>
          <w:bCs w:val="0"/>
          <w:szCs w:val="24"/>
        </w:rPr>
        <w:t xml:space="preserve"> between NB-DNJ and water molecules</w:t>
      </w:r>
      <w:r w:rsidR="004D675C">
        <w:rPr>
          <w:rStyle w:val="Strong"/>
          <w:b w:val="0"/>
          <w:bCs w:val="0"/>
          <w:szCs w:val="24"/>
        </w:rPr>
        <w:t>, as demonstrated in the video.</w:t>
      </w:r>
    </w:p>
    <w:p w14:paraId="4F37C229" w14:textId="286A809E" w:rsidR="00B57C3A" w:rsidRPr="00CA39E2" w:rsidRDefault="00B57C3A" w:rsidP="00CA39E2">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b/>
          <w:bCs/>
          <w:szCs w:val="24"/>
        </w:rPr>
      </w:pPr>
      <w:r w:rsidRPr="00EC3EB4">
        <w:rPr>
          <w:szCs w:val="24"/>
        </w:rPr>
        <w:t>Measure the lengths of the interactions between N</w:t>
      </w:r>
      <w:r>
        <w:rPr>
          <w:szCs w:val="24"/>
        </w:rPr>
        <w:t>B</w:t>
      </w:r>
      <w:r w:rsidRPr="00EC3EB4">
        <w:rPr>
          <w:szCs w:val="24"/>
        </w:rPr>
        <w:t>-DNJ and water and the amino acid side chains (and classify these contacts as hydrogen bonds</w:t>
      </w:r>
      <w:r w:rsidR="00CA39E2">
        <w:rPr>
          <w:szCs w:val="24"/>
        </w:rPr>
        <w:t xml:space="preserve">, van der Waals forces). </w:t>
      </w:r>
      <w:bookmarkStart w:id="16" w:name="_Hlk168054012"/>
      <w:r w:rsidR="00CA39E2">
        <w:rPr>
          <w:rStyle w:val="Strong"/>
          <w:b w:val="0"/>
          <w:bCs w:val="0"/>
          <w:szCs w:val="24"/>
        </w:rPr>
        <w:t>Are there any contacts with either of the active site Glu residues?</w:t>
      </w:r>
    </w:p>
    <w:p w14:paraId="786C8798" w14:textId="3A8DC06D" w:rsidR="003555B8" w:rsidRDefault="003555B8" w:rsidP="00B57C3A">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bookmarkStart w:id="17" w:name="_Hlk121829474"/>
      <w:bookmarkEnd w:id="16"/>
      <w:r>
        <w:rPr>
          <w:szCs w:val="24"/>
        </w:rPr>
        <w:t>Export at least one image as a .png file in which you display the NB-DNJ with its polar contacts.</w:t>
      </w:r>
    </w:p>
    <w:p w14:paraId="662CF48F" w14:textId="77777777" w:rsidR="003555B8" w:rsidRDefault="00B57C3A" w:rsidP="003555B8">
      <w:pPr>
        <w:pStyle w:val="ListParagraph"/>
        <w:widowControl w:val="0"/>
        <w:numPr>
          <w:ilvl w:val="1"/>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 xml:space="preserve">Display the NB-DNJ </w:t>
      </w:r>
      <w:r w:rsidR="003555B8">
        <w:rPr>
          <w:szCs w:val="24"/>
        </w:rPr>
        <w:t>in a contrasting color.</w:t>
      </w:r>
    </w:p>
    <w:p w14:paraId="7ED33D8B" w14:textId="77777777" w:rsidR="003555B8" w:rsidRDefault="003555B8" w:rsidP="003555B8">
      <w:pPr>
        <w:pStyle w:val="ListParagraph"/>
        <w:widowControl w:val="0"/>
        <w:numPr>
          <w:ilvl w:val="1"/>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Show the amino acids within 5 Å of the NB-DNJ.</w:t>
      </w:r>
    </w:p>
    <w:p w14:paraId="5CBC21DE" w14:textId="07DEA191" w:rsidR="00B57C3A" w:rsidRDefault="00830EF4" w:rsidP="003555B8">
      <w:pPr>
        <w:pStyle w:val="ListParagraph"/>
        <w:widowControl w:val="0"/>
        <w:numPr>
          <w:ilvl w:val="1"/>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H</w:t>
      </w:r>
      <w:r w:rsidR="00B57C3A">
        <w:rPr>
          <w:szCs w:val="24"/>
        </w:rPr>
        <w:t xml:space="preserve">ide the amino acid side chains within 5 </w:t>
      </w:r>
      <w:r w:rsidR="00B57C3A">
        <w:rPr>
          <w:rStyle w:val="Strong"/>
          <w:b w:val="0"/>
          <w:bCs w:val="0"/>
          <w:szCs w:val="24"/>
        </w:rPr>
        <w:t>Å</w:t>
      </w:r>
      <w:r w:rsidR="00B57C3A">
        <w:rPr>
          <w:szCs w:val="24"/>
        </w:rPr>
        <w:t xml:space="preserve"> that </w:t>
      </w:r>
      <w:r w:rsidR="00BA0CC8">
        <w:rPr>
          <w:szCs w:val="24"/>
        </w:rPr>
        <w:t>d</w:t>
      </w:r>
      <w:r w:rsidR="00226DDE">
        <w:rPr>
          <w:szCs w:val="24"/>
        </w:rPr>
        <w:t>o</w:t>
      </w:r>
      <w:r w:rsidR="00BA0CC8">
        <w:rPr>
          <w:szCs w:val="24"/>
        </w:rPr>
        <w:t xml:space="preserve"> not</w:t>
      </w:r>
      <w:r w:rsidR="00B57C3A">
        <w:rPr>
          <w:szCs w:val="24"/>
        </w:rPr>
        <w:t xml:space="preserve"> have any contacts to the N</w:t>
      </w:r>
      <w:r w:rsidR="004D675C">
        <w:rPr>
          <w:szCs w:val="24"/>
        </w:rPr>
        <w:t>B</w:t>
      </w:r>
      <w:r w:rsidR="00B57C3A">
        <w:rPr>
          <w:szCs w:val="24"/>
        </w:rPr>
        <w:t>-DNJ.</w:t>
      </w:r>
      <w:r w:rsidR="003555B8">
        <w:rPr>
          <w:szCs w:val="24"/>
        </w:rPr>
        <w:t xml:space="preserve"> </w:t>
      </w:r>
    </w:p>
    <w:p w14:paraId="02E8F0C6" w14:textId="6C714E8B" w:rsidR="003555B8" w:rsidRDefault="003555B8" w:rsidP="003555B8">
      <w:pPr>
        <w:pStyle w:val="ListParagraph"/>
        <w:widowControl w:val="0"/>
        <w:numPr>
          <w:ilvl w:val="1"/>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Show the active site Glu residues (in a contrasting color), whether or not the NB-DNJ makes contacts with these residues.</w:t>
      </w:r>
    </w:p>
    <w:p w14:paraId="51DF09F4" w14:textId="5CEC35D2" w:rsidR="003555B8" w:rsidRDefault="003555B8" w:rsidP="003555B8">
      <w:pPr>
        <w:pStyle w:val="ListParagraph"/>
        <w:widowControl w:val="0"/>
        <w:numPr>
          <w:ilvl w:val="1"/>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 xml:space="preserve">Show any water molecules </w:t>
      </w:r>
      <w:proofErr w:type="gramStart"/>
      <w:r>
        <w:rPr>
          <w:szCs w:val="24"/>
        </w:rPr>
        <w:t xml:space="preserve">making </w:t>
      </w:r>
      <w:r w:rsidR="003B72DD">
        <w:rPr>
          <w:szCs w:val="24"/>
        </w:rPr>
        <w:t>contact</w:t>
      </w:r>
      <w:r>
        <w:rPr>
          <w:szCs w:val="24"/>
        </w:rPr>
        <w:t xml:space="preserve"> with</w:t>
      </w:r>
      <w:proofErr w:type="gramEnd"/>
      <w:r>
        <w:rPr>
          <w:szCs w:val="24"/>
        </w:rPr>
        <w:t xml:space="preserve"> the NB-DNJ as red spheres.</w:t>
      </w:r>
    </w:p>
    <w:p w14:paraId="07616D69" w14:textId="72C2E116" w:rsidR="003555B8" w:rsidRDefault="003555B8" w:rsidP="003555B8">
      <w:pPr>
        <w:pStyle w:val="ListParagraph"/>
        <w:widowControl w:val="0"/>
        <w:numPr>
          <w:ilvl w:val="0"/>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Construct a table in which you identify the residues making contacts with the NB-</w:t>
      </w:r>
      <w:r w:rsidR="003B72DD">
        <w:rPr>
          <w:szCs w:val="24"/>
        </w:rPr>
        <w:t>DNJ and</w:t>
      </w:r>
      <w:r>
        <w:rPr>
          <w:szCs w:val="24"/>
        </w:rPr>
        <w:t xml:space="preserve"> note the measured distance between them.</w:t>
      </w:r>
    </w:p>
    <w:p w14:paraId="1F6537B2" w14:textId="77777777" w:rsidR="00B2122D" w:rsidRDefault="00B2122D" w:rsidP="00B2122D">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p>
    <w:p w14:paraId="062BD214" w14:textId="1C0F69FF" w:rsidR="00CC29E0" w:rsidRPr="00B2122D" w:rsidRDefault="00404473" w:rsidP="00B2122D">
      <w:pPr>
        <w:pStyle w:val="ListParagraph"/>
        <w:widowControl w:val="0"/>
        <w:numPr>
          <w:ilvl w:val="0"/>
          <w:numId w:val="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t>Smith</w:t>
      </w:r>
      <w:bookmarkEnd w:id="17"/>
      <w:r>
        <w:t>, et al., identif</w:t>
      </w:r>
      <w:r w:rsidR="00B57C3A">
        <w:t>ied</w:t>
      </w:r>
      <w:r>
        <w:t xml:space="preserve"> the following residues as important in the active site of the enzyme: Arg</w:t>
      </w:r>
      <w:r w:rsidRPr="00B2122D">
        <w:rPr>
          <w:vertAlign w:val="superscript"/>
        </w:rPr>
        <w:t>120</w:t>
      </w:r>
      <w:r>
        <w:t>, Asp</w:t>
      </w:r>
      <w:r w:rsidRPr="00B2122D">
        <w:rPr>
          <w:vertAlign w:val="superscript"/>
        </w:rPr>
        <w:t>12</w:t>
      </w:r>
      <w:r w:rsidR="000D5FB2" w:rsidRPr="00B2122D">
        <w:rPr>
          <w:vertAlign w:val="superscript"/>
        </w:rPr>
        <w:t>7</w:t>
      </w:r>
      <w:r>
        <w:t>, Phe</w:t>
      </w:r>
      <w:r w:rsidRPr="00B2122D">
        <w:rPr>
          <w:vertAlign w:val="superscript"/>
        </w:rPr>
        <w:t>128</w:t>
      </w:r>
      <w:r>
        <w:t>, Trp</w:t>
      </w:r>
      <w:r w:rsidRPr="00B2122D">
        <w:rPr>
          <w:vertAlign w:val="superscript"/>
        </w:rPr>
        <w:t>179</w:t>
      </w:r>
      <w:r>
        <w:t>, Asn</w:t>
      </w:r>
      <w:r w:rsidRPr="00B2122D">
        <w:rPr>
          <w:vertAlign w:val="superscript"/>
        </w:rPr>
        <w:t>234</w:t>
      </w:r>
      <w:r>
        <w:t>, Tyr</w:t>
      </w:r>
      <w:r w:rsidRPr="00B2122D">
        <w:rPr>
          <w:vertAlign w:val="superscript"/>
        </w:rPr>
        <w:t>244</w:t>
      </w:r>
      <w:r>
        <w:t>, Phe</w:t>
      </w:r>
      <w:r w:rsidRPr="00B2122D">
        <w:rPr>
          <w:vertAlign w:val="superscript"/>
        </w:rPr>
        <w:t>246</w:t>
      </w:r>
      <w:r>
        <w:t>, Tyr</w:t>
      </w:r>
      <w:r w:rsidRPr="00B2122D">
        <w:rPr>
          <w:vertAlign w:val="superscript"/>
        </w:rPr>
        <w:t>313</w:t>
      </w:r>
      <w:r>
        <w:t>, Ser</w:t>
      </w:r>
      <w:r w:rsidRPr="00B2122D">
        <w:rPr>
          <w:vertAlign w:val="superscript"/>
        </w:rPr>
        <w:t>345</w:t>
      </w:r>
      <w:r>
        <w:t>, Trp</w:t>
      </w:r>
      <w:r w:rsidRPr="00B2122D">
        <w:rPr>
          <w:vertAlign w:val="superscript"/>
        </w:rPr>
        <w:t>381</w:t>
      </w:r>
      <w:r>
        <w:t>, Asn</w:t>
      </w:r>
      <w:r w:rsidRPr="00B2122D">
        <w:rPr>
          <w:vertAlign w:val="superscript"/>
        </w:rPr>
        <w:t>396</w:t>
      </w:r>
      <w:r>
        <w:t>, Phe</w:t>
      </w:r>
      <w:r w:rsidRPr="00B2122D">
        <w:rPr>
          <w:vertAlign w:val="superscript"/>
        </w:rPr>
        <w:t>397</w:t>
      </w:r>
      <w:r>
        <w:t xml:space="preserve"> and Val</w:t>
      </w:r>
      <w:r w:rsidRPr="00B2122D">
        <w:rPr>
          <w:vertAlign w:val="superscript"/>
        </w:rPr>
        <w:t>398</w:t>
      </w:r>
      <w:r w:rsidR="00EB25EA">
        <w:t xml:space="preserve">. </w:t>
      </w:r>
      <w:r w:rsidR="00A562EC">
        <w:t>How many of these residues were you able to identify when you constructed your active site?</w:t>
      </w:r>
      <w:r w:rsidR="001747C3">
        <w:t xml:space="preserve"> Some of these residues are further away than 5 Å from the NB-DNJ, so you may not have captured all of them.</w:t>
      </w:r>
      <w:r w:rsidR="0047575A">
        <w:t xml:space="preserve"> </w:t>
      </w:r>
    </w:p>
    <w:p w14:paraId="62D290DD" w14:textId="77777777" w:rsidR="000447DA" w:rsidRPr="005845AC" w:rsidRDefault="000447DA" w:rsidP="005845AC">
      <w:pPr>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p>
    <w:p w14:paraId="0D4C3950" w14:textId="38BB1E12" w:rsidR="00B67E48" w:rsidRDefault="00721B9E" w:rsidP="00721B9E">
      <w:pPr>
        <w:pStyle w:val="ListParagraph"/>
        <w:widowControl w:val="0"/>
        <w:numPr>
          <w:ilvl w:val="0"/>
          <w:numId w:val="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pPr>
      <w:r>
        <w:t xml:space="preserve">Repeat </w:t>
      </w:r>
      <w:r w:rsidR="004D675C">
        <w:t xml:space="preserve">the </w:t>
      </w:r>
      <w:r>
        <w:t xml:space="preserve">above exercise with </w:t>
      </w:r>
      <w:r w:rsidRPr="004D675C">
        <w:rPr>
          <w:rFonts w:ascii="Symbol" w:hAnsi="Symbol"/>
        </w:rPr>
        <w:t>b</w:t>
      </w:r>
      <w:r>
        <w:t>-glucosidase bound to NN-DNJ (PDB code 2V3E)</w:t>
      </w:r>
      <w:r w:rsidR="00B57C3A">
        <w:t xml:space="preserve">. </w:t>
      </w:r>
      <w:bookmarkStart w:id="18" w:name="_Hlk168048000"/>
      <w:r w:rsidR="00C62805">
        <w:t xml:space="preserve">This compound was synthesized by pharmaceutical </w:t>
      </w:r>
      <w:r w:rsidR="00D31B8F">
        <w:t>scientists but</w:t>
      </w:r>
      <w:r w:rsidR="00C62805">
        <w:t xml:space="preserve"> is not yet an approved drug to treat Gaucher’s disease.</w:t>
      </w:r>
      <w:bookmarkEnd w:id="18"/>
      <w:r w:rsidR="00C62805">
        <w:t xml:space="preserve"> </w:t>
      </w:r>
      <w:r w:rsidR="00B57C3A">
        <w:t>In your case study, display several images in which you demonstrate how you completed the following exercises.</w:t>
      </w:r>
    </w:p>
    <w:p w14:paraId="0C49045D" w14:textId="76A58FD4" w:rsidR="008A192A" w:rsidRPr="00031AD2" w:rsidRDefault="008A192A" w:rsidP="008A192A">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Load the biologica</w:t>
      </w:r>
      <w:r w:rsidR="00757A98">
        <w:rPr>
          <w:szCs w:val="24"/>
        </w:rPr>
        <w:t>l</w:t>
      </w:r>
      <w:r>
        <w:rPr>
          <w:szCs w:val="24"/>
        </w:rPr>
        <w:t>l</w:t>
      </w:r>
      <w:r w:rsidR="00757A98">
        <w:rPr>
          <w:szCs w:val="24"/>
        </w:rPr>
        <w:t>y</w:t>
      </w:r>
      <w:r>
        <w:rPr>
          <w:szCs w:val="24"/>
        </w:rPr>
        <w:t xml:space="preserve"> active monomer by typing </w:t>
      </w:r>
      <w:r w:rsidRPr="005F38C0">
        <w:rPr>
          <w:b/>
          <w:bCs/>
        </w:rPr>
        <w:t>fetch 2</w:t>
      </w:r>
      <w:r>
        <w:rPr>
          <w:b/>
          <w:bCs/>
        </w:rPr>
        <w:t>V3E</w:t>
      </w:r>
      <w:r w:rsidRPr="005F38C0">
        <w:rPr>
          <w:b/>
          <w:bCs/>
        </w:rPr>
        <w:t>, type=pdb1</w:t>
      </w:r>
      <w:r>
        <w:t xml:space="preserve"> in the command line. </w:t>
      </w:r>
    </w:p>
    <w:p w14:paraId="68390833" w14:textId="77777777" w:rsidR="008A192A" w:rsidRPr="00F11BFD" w:rsidRDefault="008A192A" w:rsidP="008A192A">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t xml:space="preserve">Hide the </w:t>
      </w:r>
      <w:r>
        <w:rPr>
          <w:szCs w:val="24"/>
        </w:rPr>
        <w:t>waters.</w:t>
      </w:r>
    </w:p>
    <w:p w14:paraId="7B90418B" w14:textId="101D21AF" w:rsidR="00721B9E" w:rsidRPr="00DF225F" w:rsidRDefault="00EB1F29" w:rsidP="00DF225F">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sidRPr="00EB1F29">
        <w:rPr>
          <w:szCs w:val="24"/>
        </w:rPr>
        <w:t>Hide all of the ligands except for the NN-DNJ bound to the A chain</w:t>
      </w:r>
      <w:r w:rsidR="00DF225F">
        <w:rPr>
          <w:szCs w:val="24"/>
        </w:rPr>
        <w:t xml:space="preserve">. (NN-DNJ is denoted as </w:t>
      </w:r>
      <w:r w:rsidR="00DF225F" w:rsidRPr="00656D5A">
        <w:rPr>
          <w:b/>
          <w:bCs/>
          <w:szCs w:val="24"/>
        </w:rPr>
        <w:t>N</w:t>
      </w:r>
      <w:r w:rsidR="00DF225F">
        <w:rPr>
          <w:b/>
          <w:bCs/>
          <w:szCs w:val="24"/>
        </w:rPr>
        <w:t>ND</w:t>
      </w:r>
      <w:r w:rsidR="00DF225F" w:rsidRPr="00EB1F29">
        <w:rPr>
          <w:szCs w:val="24"/>
        </w:rPr>
        <w:t xml:space="preserve"> in PyMOL)</w:t>
      </w:r>
      <w:r w:rsidR="00DF225F">
        <w:rPr>
          <w:szCs w:val="24"/>
        </w:rPr>
        <w:t xml:space="preserve">. Create selection </w:t>
      </w:r>
      <w:r w:rsidR="00DF225F" w:rsidRPr="00FA08B4">
        <w:rPr>
          <w:b/>
          <w:bCs/>
          <w:szCs w:val="24"/>
        </w:rPr>
        <w:t>N</w:t>
      </w:r>
      <w:r w:rsidR="00DF225F">
        <w:rPr>
          <w:b/>
          <w:bCs/>
          <w:szCs w:val="24"/>
        </w:rPr>
        <w:t>ND</w:t>
      </w:r>
      <w:r w:rsidR="00DF225F">
        <w:rPr>
          <w:szCs w:val="24"/>
        </w:rPr>
        <w:t xml:space="preserve"> so that you can refer to it as you build your image.</w:t>
      </w:r>
    </w:p>
    <w:p w14:paraId="6B37D7EB" w14:textId="4D803EE2" w:rsidR="00EB1F29" w:rsidRPr="000567DB" w:rsidRDefault="00EB1F29" w:rsidP="00EB1F29">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rStyle w:val="Strong"/>
          <w:szCs w:val="24"/>
        </w:rPr>
      </w:pPr>
      <w:r w:rsidRPr="00EB1F29">
        <w:rPr>
          <w:szCs w:val="24"/>
        </w:rPr>
        <w:t>Show the active site Glu resides (</w:t>
      </w:r>
      <w:r w:rsidR="00F11BFD" w:rsidRPr="00EB1F29">
        <w:rPr>
          <w:szCs w:val="24"/>
        </w:rPr>
        <w:t>Glu</w:t>
      </w:r>
      <w:r w:rsidR="00F11BFD" w:rsidRPr="00F11BFD">
        <w:rPr>
          <w:szCs w:val="24"/>
          <w:vertAlign w:val="superscript"/>
        </w:rPr>
        <w:t>235</w:t>
      </w:r>
      <w:r w:rsidR="00F11BFD" w:rsidRPr="00EB1F29">
        <w:rPr>
          <w:szCs w:val="24"/>
        </w:rPr>
        <w:t xml:space="preserve"> and Glu</w:t>
      </w:r>
      <w:r w:rsidR="00F11BFD" w:rsidRPr="00F11BFD">
        <w:rPr>
          <w:szCs w:val="24"/>
          <w:vertAlign w:val="superscript"/>
        </w:rPr>
        <w:t>340</w:t>
      </w:r>
      <w:r w:rsidRPr="00EB1F29">
        <w:rPr>
          <w:szCs w:val="24"/>
        </w:rPr>
        <w:t xml:space="preserve">) as sticks, in a contrasting color from Chain A, displayed as a cartoon. Use the </w:t>
      </w:r>
      <w:r w:rsidRPr="00EB1F29">
        <w:rPr>
          <w:rStyle w:val="Strong"/>
          <w:szCs w:val="24"/>
        </w:rPr>
        <w:t xml:space="preserve">set cartoon_side_chain_helper, on </w:t>
      </w:r>
      <w:r w:rsidRPr="00EB1F29">
        <w:rPr>
          <w:rStyle w:val="Strong"/>
          <w:b w:val="0"/>
          <w:bCs w:val="0"/>
          <w:szCs w:val="24"/>
        </w:rPr>
        <w:t>command to show just the Glu side chains.</w:t>
      </w:r>
    </w:p>
    <w:p w14:paraId="5576C07B" w14:textId="5D25FCD3" w:rsidR="000567DB" w:rsidRPr="000567DB" w:rsidRDefault="000567DB" w:rsidP="00EB1F29">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rStyle w:val="Strong"/>
          <w:szCs w:val="24"/>
        </w:rPr>
      </w:pPr>
      <w:r>
        <w:rPr>
          <w:rStyle w:val="Strong"/>
          <w:b w:val="0"/>
          <w:bCs w:val="0"/>
          <w:szCs w:val="24"/>
        </w:rPr>
        <w:t>Show polar contacts between the NN-DNJ and amino acid side chains.</w:t>
      </w:r>
    </w:p>
    <w:p w14:paraId="6181346A" w14:textId="36977F3B" w:rsidR="000567DB" w:rsidRPr="000567DB" w:rsidRDefault="000567DB" w:rsidP="00EB1F29">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rStyle w:val="Strong"/>
          <w:szCs w:val="24"/>
        </w:rPr>
      </w:pPr>
      <w:r>
        <w:rPr>
          <w:rStyle w:val="Strong"/>
          <w:b w:val="0"/>
          <w:bCs w:val="0"/>
          <w:szCs w:val="24"/>
        </w:rPr>
        <w:t xml:space="preserve">Show any </w:t>
      </w:r>
      <w:r w:rsidR="000817AC">
        <w:rPr>
          <w:rStyle w:val="Strong"/>
          <w:b w:val="0"/>
          <w:bCs w:val="0"/>
          <w:szCs w:val="24"/>
        </w:rPr>
        <w:t xml:space="preserve">contacts </w:t>
      </w:r>
      <w:r>
        <w:rPr>
          <w:rStyle w:val="Strong"/>
          <w:b w:val="0"/>
          <w:bCs w:val="0"/>
          <w:szCs w:val="24"/>
        </w:rPr>
        <w:t>between NN-DNJ and water molecules</w:t>
      </w:r>
      <w:r w:rsidR="000817AC">
        <w:rPr>
          <w:rStyle w:val="Strong"/>
          <w:b w:val="0"/>
          <w:bCs w:val="0"/>
          <w:szCs w:val="24"/>
        </w:rPr>
        <w:t>.</w:t>
      </w:r>
    </w:p>
    <w:p w14:paraId="3317C968" w14:textId="77777777" w:rsidR="002521E2" w:rsidRDefault="002521E2" w:rsidP="002521E2">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sidRPr="00EC3EB4">
        <w:rPr>
          <w:szCs w:val="24"/>
        </w:rPr>
        <w:t>Measure the lengths of the interactions between NN-DNJ and water and the amino acid side chains (and classify these contacts as hydrogen bonds</w:t>
      </w:r>
      <w:r>
        <w:rPr>
          <w:szCs w:val="24"/>
        </w:rPr>
        <w:t>, van der Waals interactions,</w:t>
      </w:r>
      <w:r w:rsidRPr="00EC3EB4">
        <w:rPr>
          <w:szCs w:val="24"/>
        </w:rPr>
        <w:t xml:space="preserve"> or ionic interactions).</w:t>
      </w:r>
    </w:p>
    <w:p w14:paraId="32965C58" w14:textId="1B12615A" w:rsidR="002521E2" w:rsidRDefault="002521E2" w:rsidP="002521E2">
      <w:pPr>
        <w:pStyle w:val="ListParagraph"/>
        <w:widowControl w:val="0"/>
        <w:numPr>
          <w:ilvl w:val="0"/>
          <w:numId w:val="15"/>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Export at least one image as a .png file in which you display the N</w:t>
      </w:r>
      <w:r w:rsidR="0095017A">
        <w:rPr>
          <w:szCs w:val="24"/>
        </w:rPr>
        <w:t>N</w:t>
      </w:r>
      <w:r>
        <w:rPr>
          <w:szCs w:val="24"/>
        </w:rPr>
        <w:t>-DNJ with its polar contacts.</w:t>
      </w:r>
    </w:p>
    <w:p w14:paraId="4D617356" w14:textId="0A5190AF" w:rsidR="002521E2" w:rsidRDefault="002521E2" w:rsidP="002521E2">
      <w:pPr>
        <w:pStyle w:val="ListParagraph"/>
        <w:widowControl w:val="0"/>
        <w:numPr>
          <w:ilvl w:val="1"/>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Display the N</w:t>
      </w:r>
      <w:r w:rsidR="0095017A">
        <w:rPr>
          <w:szCs w:val="24"/>
        </w:rPr>
        <w:t>N</w:t>
      </w:r>
      <w:r>
        <w:rPr>
          <w:szCs w:val="24"/>
        </w:rPr>
        <w:t>-DNJ in a contrasting color.</w:t>
      </w:r>
    </w:p>
    <w:p w14:paraId="2E927C24" w14:textId="010E49A6" w:rsidR="002521E2" w:rsidRDefault="002521E2" w:rsidP="002521E2">
      <w:pPr>
        <w:pStyle w:val="ListParagraph"/>
        <w:widowControl w:val="0"/>
        <w:numPr>
          <w:ilvl w:val="1"/>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Show the amino acids within 5 Å of the N</w:t>
      </w:r>
      <w:r w:rsidR="0095017A">
        <w:rPr>
          <w:szCs w:val="24"/>
        </w:rPr>
        <w:t>N</w:t>
      </w:r>
      <w:r>
        <w:rPr>
          <w:szCs w:val="24"/>
        </w:rPr>
        <w:t>-DNJ.</w:t>
      </w:r>
    </w:p>
    <w:p w14:paraId="44B13902" w14:textId="62078A9B" w:rsidR="002521E2" w:rsidRDefault="002521E2" w:rsidP="002521E2">
      <w:pPr>
        <w:pStyle w:val="ListParagraph"/>
        <w:widowControl w:val="0"/>
        <w:numPr>
          <w:ilvl w:val="1"/>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 xml:space="preserve">Hide the amino acid side chains within 5 </w:t>
      </w:r>
      <w:r>
        <w:rPr>
          <w:rStyle w:val="Strong"/>
          <w:b w:val="0"/>
          <w:bCs w:val="0"/>
          <w:szCs w:val="24"/>
        </w:rPr>
        <w:t>Å</w:t>
      </w:r>
      <w:r>
        <w:rPr>
          <w:szCs w:val="24"/>
        </w:rPr>
        <w:t xml:space="preserve"> that do not have any contacts to the N</w:t>
      </w:r>
      <w:r w:rsidR="0095017A">
        <w:rPr>
          <w:szCs w:val="24"/>
        </w:rPr>
        <w:t>N</w:t>
      </w:r>
      <w:r>
        <w:rPr>
          <w:szCs w:val="24"/>
        </w:rPr>
        <w:t xml:space="preserve">-DNJ. </w:t>
      </w:r>
    </w:p>
    <w:p w14:paraId="5DE4E9F3" w14:textId="51E326B7" w:rsidR="002521E2" w:rsidRDefault="002521E2" w:rsidP="002521E2">
      <w:pPr>
        <w:pStyle w:val="ListParagraph"/>
        <w:widowControl w:val="0"/>
        <w:numPr>
          <w:ilvl w:val="1"/>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Show the active site Glu residues (in a contrasting color), whether or not the N</w:t>
      </w:r>
      <w:r w:rsidR="0095017A">
        <w:rPr>
          <w:szCs w:val="24"/>
        </w:rPr>
        <w:t>N</w:t>
      </w:r>
      <w:r>
        <w:rPr>
          <w:szCs w:val="24"/>
        </w:rPr>
        <w:t>-DNJ makes contacts with these residues.</w:t>
      </w:r>
    </w:p>
    <w:p w14:paraId="31F00285" w14:textId="4C265838" w:rsidR="002521E2" w:rsidRDefault="002521E2" w:rsidP="002521E2">
      <w:pPr>
        <w:pStyle w:val="ListParagraph"/>
        <w:widowControl w:val="0"/>
        <w:numPr>
          <w:ilvl w:val="1"/>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 xml:space="preserve">Show any water molecules </w:t>
      </w:r>
      <w:proofErr w:type="gramStart"/>
      <w:r>
        <w:rPr>
          <w:szCs w:val="24"/>
        </w:rPr>
        <w:t xml:space="preserve">making </w:t>
      </w:r>
      <w:r w:rsidR="003B72DD">
        <w:rPr>
          <w:szCs w:val="24"/>
        </w:rPr>
        <w:t>contact</w:t>
      </w:r>
      <w:r>
        <w:rPr>
          <w:szCs w:val="24"/>
        </w:rPr>
        <w:t xml:space="preserve"> with</w:t>
      </w:r>
      <w:proofErr w:type="gramEnd"/>
      <w:r>
        <w:rPr>
          <w:szCs w:val="24"/>
        </w:rPr>
        <w:t xml:space="preserve"> the N</w:t>
      </w:r>
      <w:r w:rsidR="0095017A">
        <w:rPr>
          <w:szCs w:val="24"/>
        </w:rPr>
        <w:t>N</w:t>
      </w:r>
      <w:r>
        <w:rPr>
          <w:szCs w:val="24"/>
        </w:rPr>
        <w:t>-DNJ as red spheres.</w:t>
      </w:r>
    </w:p>
    <w:p w14:paraId="5F9D69BA" w14:textId="59EA3C8E" w:rsidR="002521E2" w:rsidRPr="00031AD2" w:rsidRDefault="002521E2" w:rsidP="002521E2">
      <w:pPr>
        <w:pStyle w:val="ListParagraph"/>
        <w:widowControl w:val="0"/>
        <w:numPr>
          <w:ilvl w:val="0"/>
          <w:numId w:val="2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t>Construct a table in which you identify the residues making contacts with the N</w:t>
      </w:r>
      <w:r w:rsidR="0095017A">
        <w:rPr>
          <w:szCs w:val="24"/>
        </w:rPr>
        <w:t>N</w:t>
      </w:r>
      <w:r>
        <w:rPr>
          <w:szCs w:val="24"/>
        </w:rPr>
        <w:t>-DNJ and note the measured distance between them.</w:t>
      </w:r>
    </w:p>
    <w:p w14:paraId="5439D69F" w14:textId="081A0075" w:rsidR="00C86A8B" w:rsidRDefault="00C86A8B" w:rsidP="00F11BFD">
      <w:pPr>
        <w:pStyle w:val="ListParagraph"/>
        <w:widowControl w:val="0"/>
        <w:numPr>
          <w:ilvl w:val="0"/>
          <w:numId w:val="3"/>
        </w:numPr>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szCs w:val="24"/>
        </w:rPr>
      </w:pPr>
      <w:r>
        <w:rPr>
          <w:szCs w:val="24"/>
        </w:rPr>
        <w:lastRenderedPageBreak/>
        <w:t xml:space="preserve">The image in Figure </w:t>
      </w:r>
      <w:r w:rsidR="005845AC">
        <w:rPr>
          <w:szCs w:val="24"/>
        </w:rPr>
        <w:t>7</w:t>
      </w:r>
      <w:r>
        <w:rPr>
          <w:szCs w:val="24"/>
        </w:rPr>
        <w:t xml:space="preserve"> shows NN-DNJ bound to the glucosidase enzyme. </w:t>
      </w:r>
      <w:bookmarkStart w:id="19" w:name="_Hlk168054122"/>
      <w:r>
        <w:rPr>
          <w:szCs w:val="24"/>
        </w:rPr>
        <w:t xml:space="preserve">The </w:t>
      </w:r>
      <w:bookmarkStart w:id="20" w:name="_Hlk168048479"/>
      <w:r>
        <w:rPr>
          <w:szCs w:val="24"/>
        </w:rPr>
        <w:t>enzyme is shown as a</w:t>
      </w:r>
      <w:r w:rsidR="00D6426A">
        <w:rPr>
          <w:szCs w:val="24"/>
        </w:rPr>
        <w:t xml:space="preserve"> hydrophobicity map</w:t>
      </w:r>
      <w:r>
        <w:rPr>
          <w:szCs w:val="24"/>
        </w:rPr>
        <w:t xml:space="preserve">, with dark red being the most </w:t>
      </w:r>
      <w:r w:rsidR="00830EF4">
        <w:rPr>
          <w:szCs w:val="24"/>
        </w:rPr>
        <w:t>non</w:t>
      </w:r>
      <w:r>
        <w:rPr>
          <w:szCs w:val="24"/>
        </w:rPr>
        <w:t>polar</w:t>
      </w:r>
      <w:r w:rsidR="00C62805">
        <w:rPr>
          <w:szCs w:val="24"/>
        </w:rPr>
        <w:t xml:space="preserve">, </w:t>
      </w:r>
      <w:r>
        <w:rPr>
          <w:szCs w:val="24"/>
        </w:rPr>
        <w:t>white the most polar</w:t>
      </w:r>
      <w:r w:rsidR="00C62805">
        <w:rPr>
          <w:szCs w:val="24"/>
        </w:rPr>
        <w:t xml:space="preserve"> and pink being in-between.</w:t>
      </w:r>
    </w:p>
    <w:bookmarkEnd w:id="19"/>
    <w:bookmarkEnd w:id="20"/>
    <w:p w14:paraId="5609A453"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4AF1E1F6"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r>
        <w:rPr>
          <w:noProof/>
          <w:szCs w:val="24"/>
        </w:rPr>
        <w:drawing>
          <wp:anchor distT="0" distB="0" distL="114300" distR="114300" simplePos="0" relativeHeight="251701248" behindDoc="0" locked="0" layoutInCell="1" allowOverlap="1" wp14:anchorId="58EE0A5A" wp14:editId="367C114C">
            <wp:simplePos x="0" y="0"/>
            <wp:positionH relativeFrom="margin">
              <wp:posOffset>1668145</wp:posOffset>
            </wp:positionH>
            <wp:positionV relativeFrom="paragraph">
              <wp:posOffset>60325</wp:posOffset>
            </wp:positionV>
            <wp:extent cx="2903855" cy="2178050"/>
            <wp:effectExtent l="0" t="0" r="0" b="0"/>
            <wp:wrapSquare wrapText="bothSides"/>
            <wp:docPr id="6" name="Picture 6" descr="A close-up of a red and white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red and white molecule&#10;&#10;Description automatically generated"/>
                    <pic:cNvPicPr/>
                  </pic:nvPicPr>
                  <pic:blipFill rotWithShape="1">
                    <a:blip r:embed="rId27" cstate="print">
                      <a:extLst>
                        <a:ext uri="{28A0092B-C50C-407E-A947-70E740481C1C}">
                          <a14:useLocalDpi xmlns:a14="http://schemas.microsoft.com/office/drawing/2010/main" val="0"/>
                        </a:ext>
                      </a:extLst>
                    </a:blip>
                    <a:srcRect l="21838" r="14778"/>
                    <a:stretch/>
                  </pic:blipFill>
                  <pic:spPr bwMode="auto">
                    <a:xfrm>
                      <a:off x="0" y="0"/>
                      <a:ext cx="2903855" cy="217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68417"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29B64B83"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517B9C4F"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0E2853A0"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3C1CDB32"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3A11DE3D"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5A87922A"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1DFF4474"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64F1DEE5"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2E00DF58"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7284F8E0"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724C9545"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7F07677B"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5A19DDC8" w14:textId="77777777" w:rsidR="00CC2141" w:rsidRPr="005D1C1F" w:rsidRDefault="00CC2141" w:rsidP="00CC2141">
      <w:pPr>
        <w:framePr w:w="8668" w:wrap="around" w:vAnchor="text" w:hAnchor="page" w:x="1686" w:y="4"/>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rPr>
          <w:vanish/>
          <w:sz w:val="20"/>
        </w:rPr>
      </w:pPr>
      <w:r w:rsidRPr="005D1C1F">
        <w:rPr>
          <w:rFonts w:ascii="Arial" w:hAnsi="Arial"/>
          <w:b/>
          <w:sz w:val="20"/>
        </w:rPr>
        <w:t xml:space="preserve">Figure </w:t>
      </w:r>
      <w:r>
        <w:rPr>
          <w:rFonts w:ascii="Arial" w:hAnsi="Arial"/>
          <w:b/>
          <w:sz w:val="20"/>
        </w:rPr>
        <w:t>7</w:t>
      </w:r>
      <w:r w:rsidRPr="005D1C1F">
        <w:rPr>
          <w:rFonts w:ascii="Arial" w:hAnsi="Arial"/>
          <w:sz w:val="20"/>
        </w:rPr>
        <w:t xml:space="preserve">: </w:t>
      </w:r>
      <w:r>
        <w:rPr>
          <w:sz w:val="20"/>
        </w:rPr>
        <w:t xml:space="preserve">PyMOL image of the acid </w:t>
      </w:r>
      <w:r w:rsidRPr="00C86A8B">
        <w:rPr>
          <w:rFonts w:ascii="Symbol" w:hAnsi="Symbol"/>
          <w:sz w:val="20"/>
        </w:rPr>
        <w:t>b</w:t>
      </w:r>
      <w:r>
        <w:rPr>
          <w:sz w:val="20"/>
        </w:rPr>
        <w:t>-glucosidase enzyme with the ligand NN-DNJ (shown in magenta) bound. The enzyme is shown as a surface with the most nonpolar portions of the enzyme shown in red and the most polar in white, with pink being intermediate.</w:t>
      </w:r>
    </w:p>
    <w:p w14:paraId="2D5E247D"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0FAA994B"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1EC78978"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67F19569" w14:textId="77777777" w:rsidR="00CC2141" w:rsidRDefault="00CC2141" w:rsidP="00CC2141">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43868128" w14:textId="0ABAAC99" w:rsidR="00F11BFD" w:rsidRDefault="00CC2141" w:rsidP="00C62805">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bookmarkStart w:id="21" w:name="_Hlk168048707"/>
      <w:r>
        <w:rPr>
          <w:szCs w:val="24"/>
        </w:rPr>
        <w:t>The IC</w:t>
      </w:r>
      <w:r w:rsidRPr="00F11BFD">
        <w:rPr>
          <w:szCs w:val="24"/>
          <w:vertAlign w:val="subscript"/>
        </w:rPr>
        <w:t>50</w:t>
      </w:r>
      <w:r w:rsidR="00F11BFD" w:rsidRPr="00C62805">
        <w:rPr>
          <w:szCs w:val="24"/>
        </w:rPr>
        <w:t xml:space="preserve"> is defined as the amount of inhibitor required to inhibit 50% of the enzyme. </w:t>
      </w:r>
      <w:r w:rsidR="00C62805">
        <w:rPr>
          <w:szCs w:val="24"/>
        </w:rPr>
        <w:t>The IC</w:t>
      </w:r>
      <w:r w:rsidR="00C62805" w:rsidRPr="00C62805">
        <w:rPr>
          <w:szCs w:val="24"/>
          <w:vertAlign w:val="subscript"/>
        </w:rPr>
        <w:t>50</w:t>
      </w:r>
      <w:r w:rsidR="00C62805">
        <w:rPr>
          <w:szCs w:val="24"/>
        </w:rPr>
        <w:t xml:space="preserve"> value for NB-DNJ is 520 μM and the IC</w:t>
      </w:r>
      <w:r w:rsidR="00C62805" w:rsidRPr="00C62805">
        <w:rPr>
          <w:szCs w:val="24"/>
          <w:vertAlign w:val="subscript"/>
        </w:rPr>
        <w:t>50</w:t>
      </w:r>
      <w:r w:rsidR="00C62805">
        <w:rPr>
          <w:szCs w:val="24"/>
        </w:rPr>
        <w:t xml:space="preserve"> value for N</w:t>
      </w:r>
      <w:r w:rsidR="0095017A">
        <w:rPr>
          <w:szCs w:val="24"/>
        </w:rPr>
        <w:t>N-DNJ</w:t>
      </w:r>
      <w:r w:rsidR="00C62805">
        <w:rPr>
          <w:szCs w:val="24"/>
        </w:rPr>
        <w:t xml:space="preserve"> is 660 nM. Use the structures of the compounds in Table 1 and the image in Figure 7 to explain the significance of the differences of these values.</w:t>
      </w:r>
    </w:p>
    <w:bookmarkEnd w:id="21"/>
    <w:p w14:paraId="16E508AE" w14:textId="77777777" w:rsidR="00C62805" w:rsidRDefault="00C62805" w:rsidP="00C62805">
      <w:pPr>
        <w:pStyle w:val="ListParagraph"/>
        <w:widowControl w:val="0"/>
        <w:tabs>
          <w:tab w:val="left" w:pos="-1080"/>
          <w:tab w:val="left" w:pos="-720"/>
          <w:tab w:val="left" w:pos="0"/>
          <w:tab w:val="left" w:pos="360"/>
          <w:tab w:val="left" w:pos="720"/>
          <w:tab w:val="left" w:pos="108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223"/>
        </w:tabs>
        <w:ind w:left="360"/>
        <w:rPr>
          <w:szCs w:val="24"/>
        </w:rPr>
      </w:pPr>
    </w:p>
    <w:p w14:paraId="178093FF" w14:textId="18553523" w:rsidR="00031799" w:rsidRDefault="002900EC" w:rsidP="00EA5CDC">
      <w:pPr>
        <w:pStyle w:val="ListParagraph"/>
        <w:widowControl w:val="0"/>
        <w:numPr>
          <w:ilvl w:val="0"/>
          <w:numId w:val="3"/>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bookmarkStart w:id="22" w:name="_Hlk167987278"/>
      <w:r>
        <w:t xml:space="preserve">Genetic testing reveals that Lila’s glucosidase enzyme has an N370S mutation, which is the most common mutation found in patients with Gaucher’s disease. </w:t>
      </w:r>
      <w:r w:rsidR="00EA5CDC">
        <w:t>Propose a hypothesis in which you explain why an amino acid change in this position could result in an enzyme with impaired catalytic activity.</w:t>
      </w:r>
    </w:p>
    <w:p w14:paraId="4CCC4533" w14:textId="77777777" w:rsidR="004210AC" w:rsidRDefault="004210AC" w:rsidP="004210AC">
      <w:pPr>
        <w:pStyle w:val="ListParagraph"/>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ind w:left="360"/>
      </w:pPr>
    </w:p>
    <w:p w14:paraId="469B719E" w14:textId="52AA9900" w:rsidR="004210AC" w:rsidRDefault="004210AC" w:rsidP="00EA5CDC">
      <w:pPr>
        <w:pStyle w:val="ListParagraph"/>
        <w:widowControl w:val="0"/>
        <w:numPr>
          <w:ilvl w:val="0"/>
          <w:numId w:val="3"/>
        </w:numPr>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bookmarkStart w:id="23" w:name="_Hlk168048910"/>
      <w:r>
        <w:t xml:space="preserve">Let’s return to the Research Question posed at the beginning of the case. How can we use what we know about the molecular structure of the acid </w:t>
      </w:r>
      <w:r w:rsidRPr="00BF3CEC">
        <w:rPr>
          <w:rFonts w:ascii="Symbol" w:hAnsi="Symbol"/>
        </w:rPr>
        <w:t>b</w:t>
      </w:r>
      <w:r>
        <w:t>-glucosidase enzyme to design drugs to inhibit this enzyme, with the goal of treating patients like Lila with Gaucher’s disease? Use your answers to previous questions in this case study and write a short paragraph in which you address this question.</w:t>
      </w:r>
    </w:p>
    <w:bookmarkEnd w:id="22"/>
    <w:bookmarkEnd w:id="23"/>
    <w:p w14:paraId="476B018A" w14:textId="77777777" w:rsidR="00F345FB" w:rsidRDefault="00F345FB" w:rsidP="00F345FB">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p>
    <w:p w14:paraId="66D23506" w14:textId="368BD5C1" w:rsidR="00F345FB" w:rsidRDefault="00F345FB" w:rsidP="00F345FB">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spacing w:line="264" w:lineRule="auto"/>
      </w:pPr>
      <w:bookmarkStart w:id="24" w:name="_Hlk167972563"/>
      <w:r>
        <w:rPr>
          <w:sz w:val="32"/>
        </w:rPr>
        <w:t>Lila’s story: Epilogue</w:t>
      </w:r>
    </w:p>
    <w:p w14:paraId="6C0A6BB0" w14:textId="77B6DE38" w:rsidR="00F345FB" w:rsidRDefault="00F345FB" w:rsidP="00F345FB">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ab/>
        <w:t xml:space="preserve"> </w:t>
      </w:r>
      <w:r w:rsidR="00200D0A">
        <w:t xml:space="preserve">It’s now May, and the school year is </w:t>
      </w:r>
      <w:r w:rsidR="00D31B8F">
        <w:t>ending</w:t>
      </w:r>
      <w:r w:rsidR="00200D0A">
        <w:t>. Lila has been taking Zavesca since her diagnosis the previous September. She’s just returned from seeing her doctor and Cristela is anxious to hear about Lila’s visit.</w:t>
      </w:r>
    </w:p>
    <w:p w14:paraId="511EE4D2" w14:textId="6612E94D" w:rsidR="00200D0A" w:rsidRDefault="00200D0A" w:rsidP="00F345FB">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ab/>
        <w:t xml:space="preserve">Lila shows some documents provided to her by her doctor to Cristela. “Look at these results!” she exclaims. “My doctor explained to me what these values mean. After nine months on Zavesca, my spleen </w:t>
      </w:r>
      <w:r>
        <w:lastRenderedPageBreak/>
        <w:t xml:space="preserve">volume is lower, my liver health has </w:t>
      </w:r>
      <w:r w:rsidR="00145FA7">
        <w:t>improved,</w:t>
      </w:r>
      <w:r>
        <w:t xml:space="preserve"> and my bone scans are nearly normal!”</w:t>
      </w:r>
    </w:p>
    <w:p w14:paraId="5502A04F" w14:textId="282A8F48" w:rsidR="00200D0A" w:rsidRDefault="00200D0A" w:rsidP="00F345FB">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ab/>
        <w:t xml:space="preserve">Cristela was happy to see her friend in such good health, after all she had been through. “My doctor told me that she had a patient on ERT and didn’t respond well,” Lila continued. “He developed allergies and had to stop ERT because he developed severe skin </w:t>
      </w:r>
      <w:r w:rsidR="00145FA7">
        <w:t>allergies,</w:t>
      </w:r>
      <w:r>
        <w:t xml:space="preserve"> and he really didn’t want to try another type of treatment. But he eventually tried Zavesca and improved</w:t>
      </w:r>
      <w:r w:rsidR="00145FA7">
        <w:t>, so my doctor thought that this treatment regimen could work for me as well.”</w:t>
      </w:r>
    </w:p>
    <w:p w14:paraId="48B9D3FD" w14:textId="7EF134AE" w:rsidR="00145FA7" w:rsidRDefault="00145FA7" w:rsidP="00F345FB">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ab/>
        <w:t>“</w:t>
      </w:r>
      <w:r w:rsidR="00D31B8F">
        <w:t>So,</w:t>
      </w:r>
      <w:r>
        <w:t xml:space="preserve"> tell me all about your summer internship!” said Cristela.</w:t>
      </w:r>
    </w:p>
    <w:p w14:paraId="3CC1FB38" w14:textId="198DEE03" w:rsidR="00145FA7" w:rsidRDefault="00145FA7" w:rsidP="00F345FB">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ab/>
        <w:t>“I’m going to be working with human rights organization in Ecuador that works with vulnerable populations of women. I’ll be organizing workshops, alongside community leaders, in which we empower women by teaching them how to access a variety of social services.”</w:t>
      </w:r>
    </w:p>
    <w:p w14:paraId="566E75C9" w14:textId="44D2A147" w:rsidR="00145FA7" w:rsidRDefault="00145FA7" w:rsidP="00F345FB">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ab/>
        <w:t>“Aren’t you nervous?” asked Cristela.</w:t>
      </w:r>
    </w:p>
    <w:p w14:paraId="1AA9714F" w14:textId="2F9F5DA8" w:rsidR="00145FA7" w:rsidRDefault="00145FA7" w:rsidP="00F345FB">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ab/>
        <w:t>“A year ago, I would have been, not because of the project—which will be admittedly challenging—but because I would have been worried about my health. But I don’t think that I need to worry about health issues this summer the way I have in the past. What about you? What are your plans for this summer?”</w:t>
      </w:r>
    </w:p>
    <w:p w14:paraId="095E2A33" w14:textId="3A585491" w:rsidR="00145FA7" w:rsidRDefault="00145FA7" w:rsidP="00F345FB">
      <w:pPr>
        <w:widowControl w:val="0"/>
        <w:tabs>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 w:val="left" w:pos="10079"/>
        </w:tabs>
      </w:pPr>
      <w:r>
        <w:tab/>
        <w:t>“I’ve accepted a position in one of the laboratories on campus,” said Cristela. “My biochemistry professor recommended me because I had done well in the class. And guess what? I’ll be researching new drugs to treat Gaucher’s disease!”</w:t>
      </w:r>
    </w:p>
    <w:bookmarkEnd w:id="24"/>
    <w:p w14:paraId="61BECA0A" w14:textId="77777777" w:rsidR="0076225E" w:rsidRDefault="0076225E">
      <w:pPr>
        <w:rPr>
          <w:color w:val="000000"/>
          <w:sz w:val="32"/>
          <w:szCs w:val="32"/>
        </w:rPr>
      </w:pPr>
      <w:r>
        <w:rPr>
          <w:color w:val="000000"/>
          <w:sz w:val="32"/>
          <w:szCs w:val="32"/>
        </w:rPr>
        <w:br w:type="page"/>
      </w:r>
    </w:p>
    <w:p w14:paraId="2F050379" w14:textId="77777777" w:rsidR="00E22449" w:rsidRPr="004535B3"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color w:val="000000"/>
          <w:sz w:val="32"/>
          <w:szCs w:val="32"/>
        </w:rPr>
      </w:pPr>
      <w:r w:rsidRPr="004535B3">
        <w:rPr>
          <w:color w:val="000000"/>
          <w:sz w:val="32"/>
          <w:szCs w:val="32"/>
        </w:rPr>
        <w:lastRenderedPageBreak/>
        <w:t>References</w:t>
      </w:r>
    </w:p>
    <w:p w14:paraId="6E62F86B" w14:textId="77777777" w:rsidR="00E22449" w:rsidRPr="00394776"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rStyle w:val="Hyperlink"/>
          <w:szCs w:val="24"/>
        </w:rPr>
      </w:pPr>
    </w:p>
    <w:p w14:paraId="65E11B4D"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szCs w:val="24"/>
        </w:rPr>
      </w:pPr>
      <w:r>
        <w:rPr>
          <w:szCs w:val="24"/>
        </w:rPr>
        <w:t xml:space="preserve">Brumshtein, B., Greenblatt, H. M., Butters, T. D., Shaaltiel, Y., Aviezer, D., Silman, I., Futerman, A. H., and Sussmann, J. L. (2007) Crystal structures of complexes of </w:t>
      </w:r>
      <w:r w:rsidRPr="00394776">
        <w:rPr>
          <w:i/>
          <w:iCs/>
          <w:szCs w:val="24"/>
        </w:rPr>
        <w:t>N</w:t>
      </w:r>
      <w:r>
        <w:rPr>
          <w:szCs w:val="24"/>
        </w:rPr>
        <w:t xml:space="preserve">-butyl- and </w:t>
      </w:r>
      <w:r w:rsidRPr="00394776">
        <w:rPr>
          <w:i/>
          <w:iCs/>
          <w:szCs w:val="24"/>
        </w:rPr>
        <w:t>N</w:t>
      </w:r>
      <w:r>
        <w:rPr>
          <w:szCs w:val="24"/>
        </w:rPr>
        <w:t xml:space="preserve">-nonyl-deoxynojirimycin bound to acid </w:t>
      </w:r>
      <w:r w:rsidRPr="00394776">
        <w:rPr>
          <w:rFonts w:ascii="Symbol" w:hAnsi="Symbol"/>
          <w:szCs w:val="24"/>
        </w:rPr>
        <w:t>b</w:t>
      </w:r>
      <w:r>
        <w:rPr>
          <w:szCs w:val="24"/>
        </w:rPr>
        <w:t xml:space="preserve">-glucosidases. </w:t>
      </w:r>
      <w:r w:rsidRPr="00394776">
        <w:rPr>
          <w:i/>
          <w:iCs/>
          <w:szCs w:val="24"/>
        </w:rPr>
        <w:t>J. Biol. Chem.</w:t>
      </w:r>
      <w:r>
        <w:rPr>
          <w:szCs w:val="24"/>
        </w:rPr>
        <w:t xml:space="preserve"> </w:t>
      </w:r>
      <w:r w:rsidRPr="00394776">
        <w:rPr>
          <w:b/>
          <w:bCs/>
          <w:szCs w:val="24"/>
        </w:rPr>
        <w:t>282(39),</w:t>
      </w:r>
      <w:r>
        <w:rPr>
          <w:szCs w:val="24"/>
        </w:rPr>
        <w:t xml:space="preserve"> 29052</w:t>
      </w:r>
      <w:r w:rsidRPr="00317070">
        <w:rPr>
          <w:szCs w:val="24"/>
        </w:rPr>
        <w:t>–</w:t>
      </w:r>
      <w:r>
        <w:rPr>
          <w:szCs w:val="24"/>
        </w:rPr>
        <w:t>29058.</w:t>
      </w:r>
    </w:p>
    <w:p w14:paraId="07E151B0"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szCs w:val="24"/>
        </w:rPr>
      </w:pPr>
    </w:p>
    <w:p w14:paraId="6A0771F3" w14:textId="77777777" w:rsidR="00E22449" w:rsidRPr="00317070" w:rsidRDefault="00E22449" w:rsidP="00E22449">
      <w:pPr>
        <w:rPr>
          <w:szCs w:val="24"/>
        </w:rPr>
      </w:pPr>
      <w:r w:rsidRPr="00317070">
        <w:rPr>
          <w:szCs w:val="24"/>
        </w:rPr>
        <w:t xml:space="preserve">Compain, P., Martin, O. R., Boucheron, C., Godin, G., Yu, L., Ikeda, K., and Asano, N. (2006) Design and synthesis of highly potent and selective pharmacological chaperones for the treatment of Gaucher’s disease. </w:t>
      </w:r>
      <w:r w:rsidRPr="00317070">
        <w:rPr>
          <w:i/>
          <w:iCs/>
          <w:szCs w:val="24"/>
        </w:rPr>
        <w:t>ChemBioChem</w:t>
      </w:r>
      <w:r w:rsidRPr="00317070">
        <w:rPr>
          <w:szCs w:val="24"/>
        </w:rPr>
        <w:t xml:space="preserve">, </w:t>
      </w:r>
      <w:r w:rsidRPr="00317070">
        <w:rPr>
          <w:b/>
          <w:bCs/>
          <w:szCs w:val="24"/>
        </w:rPr>
        <w:t>7</w:t>
      </w:r>
      <w:r w:rsidRPr="00317070">
        <w:rPr>
          <w:szCs w:val="24"/>
        </w:rPr>
        <w:t>, 1356–</w:t>
      </w:r>
      <w:r>
        <w:rPr>
          <w:szCs w:val="24"/>
        </w:rPr>
        <w:t>1</w:t>
      </w:r>
      <w:r w:rsidRPr="00317070">
        <w:rPr>
          <w:szCs w:val="24"/>
        </w:rPr>
        <w:t>359</w:t>
      </w:r>
      <w:r>
        <w:rPr>
          <w:szCs w:val="24"/>
        </w:rPr>
        <w:t>.</w:t>
      </w:r>
    </w:p>
    <w:p w14:paraId="3AAB6D24"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szCs w:val="24"/>
        </w:rPr>
      </w:pPr>
    </w:p>
    <w:p w14:paraId="5D86CD33" w14:textId="77777777" w:rsidR="00E22449" w:rsidRPr="00394776"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szCs w:val="24"/>
        </w:rPr>
      </w:pPr>
      <w:r w:rsidRPr="00394776">
        <w:rPr>
          <w:szCs w:val="24"/>
        </w:rPr>
        <w:t>Filocamo</w:t>
      </w:r>
      <w:r>
        <w:rPr>
          <w:szCs w:val="24"/>
        </w:rPr>
        <w:t>, M.,</w:t>
      </w:r>
      <w:r w:rsidRPr="00394776">
        <w:rPr>
          <w:szCs w:val="24"/>
        </w:rPr>
        <w:t xml:space="preserve"> and Marrone,</w:t>
      </w:r>
      <w:r>
        <w:rPr>
          <w:szCs w:val="24"/>
        </w:rPr>
        <w:t xml:space="preserve"> A. (2011) Lysosomal storage disorders: molecular basis and laboratory testing.</w:t>
      </w:r>
      <w:r w:rsidRPr="00394776">
        <w:rPr>
          <w:szCs w:val="24"/>
        </w:rPr>
        <w:t xml:space="preserve"> </w:t>
      </w:r>
      <w:r w:rsidRPr="00394776">
        <w:rPr>
          <w:i/>
          <w:iCs/>
          <w:szCs w:val="24"/>
        </w:rPr>
        <w:t>Hum</w:t>
      </w:r>
      <w:r>
        <w:rPr>
          <w:i/>
          <w:iCs/>
          <w:szCs w:val="24"/>
        </w:rPr>
        <w:t>.</w:t>
      </w:r>
      <w:r w:rsidRPr="00394776">
        <w:rPr>
          <w:i/>
          <w:iCs/>
          <w:szCs w:val="24"/>
        </w:rPr>
        <w:t xml:space="preserve"> Genomics</w:t>
      </w:r>
      <w:r w:rsidRPr="00394776">
        <w:rPr>
          <w:szCs w:val="24"/>
        </w:rPr>
        <w:t xml:space="preserve"> </w:t>
      </w:r>
      <w:r w:rsidRPr="00394776">
        <w:rPr>
          <w:b/>
          <w:bCs/>
          <w:szCs w:val="24"/>
        </w:rPr>
        <w:t>5(3)</w:t>
      </w:r>
      <w:r w:rsidRPr="00394776">
        <w:rPr>
          <w:szCs w:val="24"/>
        </w:rPr>
        <w:t>, 156</w:t>
      </w:r>
      <w:r w:rsidRPr="00317070">
        <w:rPr>
          <w:szCs w:val="24"/>
        </w:rPr>
        <w:t>–</w:t>
      </w:r>
      <w:r w:rsidRPr="00394776">
        <w:rPr>
          <w:szCs w:val="24"/>
        </w:rPr>
        <w:t>1</w:t>
      </w:r>
      <w:r>
        <w:rPr>
          <w:szCs w:val="24"/>
        </w:rPr>
        <w:t>69.</w:t>
      </w:r>
    </w:p>
    <w:p w14:paraId="177B168A"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szCs w:val="24"/>
        </w:rPr>
      </w:pPr>
    </w:p>
    <w:p w14:paraId="681C6D05"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szCs w:val="24"/>
        </w:rPr>
      </w:pPr>
      <w:r>
        <w:rPr>
          <w:szCs w:val="24"/>
        </w:rPr>
        <w:t xml:space="preserve">Giuffrida, G, Lombardo, R, DiFrancesco, ED, Parrinello, L, DiRaimondo, F, and Fiumara, A (2016) Successful switch from enzyme replacement therapy to miglustat in an adult patient with type I Gaucher disease: a case report. </w:t>
      </w:r>
      <w:r w:rsidRPr="00F735B7">
        <w:rPr>
          <w:i/>
          <w:iCs/>
          <w:szCs w:val="24"/>
        </w:rPr>
        <w:t>Journal of Medical Case Reports</w:t>
      </w:r>
      <w:r>
        <w:rPr>
          <w:szCs w:val="24"/>
        </w:rPr>
        <w:t xml:space="preserve"> </w:t>
      </w:r>
      <w:r w:rsidRPr="00F735B7">
        <w:rPr>
          <w:b/>
          <w:bCs/>
          <w:szCs w:val="24"/>
        </w:rPr>
        <w:t>10</w:t>
      </w:r>
      <w:r>
        <w:rPr>
          <w:szCs w:val="24"/>
        </w:rPr>
        <w:t>, 315</w:t>
      </w:r>
      <w:r w:rsidRPr="00317070">
        <w:rPr>
          <w:szCs w:val="24"/>
        </w:rPr>
        <w:t xml:space="preserve">– </w:t>
      </w:r>
      <w:r>
        <w:rPr>
          <w:szCs w:val="24"/>
        </w:rPr>
        <w:t>320.</w:t>
      </w:r>
    </w:p>
    <w:p w14:paraId="258F3E32"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szCs w:val="24"/>
        </w:rPr>
      </w:pPr>
    </w:p>
    <w:p w14:paraId="0351D4CA"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szCs w:val="24"/>
        </w:rPr>
      </w:pPr>
      <w:r>
        <w:rPr>
          <w:szCs w:val="24"/>
        </w:rPr>
        <w:t xml:space="preserve">Iftikhar, M., Lu, Y., and Zhou, M. (2021) An overview of therapeutic potential of </w:t>
      </w:r>
      <w:r w:rsidRPr="000817AC">
        <w:rPr>
          <w:i/>
          <w:iCs/>
          <w:szCs w:val="24"/>
        </w:rPr>
        <w:t>N</w:t>
      </w:r>
      <w:r>
        <w:rPr>
          <w:szCs w:val="24"/>
        </w:rPr>
        <w:t xml:space="preserve">-alkylated 1-deoxynojirimycin cogeners. </w:t>
      </w:r>
      <w:r w:rsidRPr="00037B3D">
        <w:rPr>
          <w:i/>
          <w:iCs/>
          <w:szCs w:val="24"/>
        </w:rPr>
        <w:t>Carbohyd. Res.</w:t>
      </w:r>
      <w:r>
        <w:rPr>
          <w:szCs w:val="24"/>
        </w:rPr>
        <w:t xml:space="preserve"> </w:t>
      </w:r>
      <w:r w:rsidRPr="00037B3D">
        <w:rPr>
          <w:b/>
          <w:bCs/>
          <w:szCs w:val="24"/>
        </w:rPr>
        <w:t>504</w:t>
      </w:r>
      <w:r>
        <w:rPr>
          <w:szCs w:val="24"/>
        </w:rPr>
        <w:t>, 108317.</w:t>
      </w:r>
    </w:p>
    <w:p w14:paraId="755D0DF0"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szCs w:val="24"/>
        </w:rPr>
      </w:pPr>
    </w:p>
    <w:p w14:paraId="0DECB81D" w14:textId="77777777" w:rsidR="00E22449" w:rsidRPr="00B9080E" w:rsidRDefault="00E22449" w:rsidP="00E22449">
      <w:pPr>
        <w:autoSpaceDE w:val="0"/>
        <w:autoSpaceDN w:val="0"/>
        <w:adjustRightInd w:val="0"/>
        <w:rPr>
          <w:szCs w:val="24"/>
        </w:rPr>
      </w:pPr>
      <w:r w:rsidRPr="00394776">
        <w:rPr>
          <w:szCs w:val="24"/>
        </w:rPr>
        <w:t xml:space="preserve">Karatas, </w:t>
      </w:r>
      <w:r>
        <w:rPr>
          <w:szCs w:val="24"/>
        </w:rPr>
        <w:t xml:space="preserve">M., Dogan, S., Spahiu, E., Ašić, A., Bešić, L., Turan, Y. </w:t>
      </w:r>
      <w:r w:rsidRPr="00B9080E">
        <w:rPr>
          <w:szCs w:val="24"/>
        </w:rPr>
        <w:t>(2020) Enzyme kinetics and inhibition parameters of human</w:t>
      </w:r>
      <w:r>
        <w:rPr>
          <w:szCs w:val="24"/>
        </w:rPr>
        <w:t xml:space="preserve"> </w:t>
      </w:r>
      <w:r w:rsidRPr="00B9080E">
        <w:rPr>
          <w:szCs w:val="24"/>
        </w:rPr>
        <w:t xml:space="preserve">leukocyte glucosylceramidase. </w:t>
      </w:r>
      <w:r w:rsidRPr="00B9080E">
        <w:rPr>
          <w:i/>
          <w:iCs/>
          <w:szCs w:val="24"/>
        </w:rPr>
        <w:t>Heliyon</w:t>
      </w:r>
      <w:r w:rsidRPr="00B9080E">
        <w:rPr>
          <w:szCs w:val="24"/>
        </w:rPr>
        <w:t xml:space="preserve"> </w:t>
      </w:r>
      <w:r w:rsidRPr="00B9080E">
        <w:rPr>
          <w:b/>
          <w:bCs/>
          <w:szCs w:val="24"/>
        </w:rPr>
        <w:t>6</w:t>
      </w:r>
      <w:r w:rsidRPr="00B9080E">
        <w:rPr>
          <w:szCs w:val="24"/>
        </w:rPr>
        <w:t xml:space="preserve"> e05191.</w:t>
      </w:r>
    </w:p>
    <w:p w14:paraId="4D5FE7C2" w14:textId="77777777" w:rsidR="00E22449" w:rsidRPr="00394776"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rStyle w:val="Hyperlink"/>
          <w:color w:val="auto"/>
          <w:szCs w:val="24"/>
          <w:u w:val="none"/>
        </w:rPr>
      </w:pPr>
    </w:p>
    <w:p w14:paraId="734AD24B"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rStyle w:val="Hyperlink"/>
          <w:color w:val="auto"/>
          <w:szCs w:val="24"/>
          <w:u w:val="none"/>
        </w:rPr>
      </w:pPr>
      <w:r w:rsidRPr="00394776">
        <w:rPr>
          <w:rStyle w:val="Hyperlink"/>
          <w:color w:val="auto"/>
          <w:szCs w:val="24"/>
          <w:u w:val="none"/>
        </w:rPr>
        <w:t xml:space="preserve">Liou, B., Kazimeirczuk, A., Zhang, M., Scott, C. R., Hegde, R. S., and Grabowski, G. A. (2006) Analysis of variant acid </w:t>
      </w:r>
      <w:r w:rsidRPr="00B9080E">
        <w:rPr>
          <w:rStyle w:val="Hyperlink"/>
          <w:rFonts w:ascii="Symbol" w:hAnsi="Symbol"/>
          <w:color w:val="auto"/>
          <w:szCs w:val="24"/>
          <w:u w:val="none"/>
        </w:rPr>
        <w:t>b</w:t>
      </w:r>
      <w:r w:rsidRPr="00394776">
        <w:rPr>
          <w:rStyle w:val="Hyperlink"/>
          <w:color w:val="auto"/>
          <w:szCs w:val="24"/>
          <w:u w:val="none"/>
        </w:rPr>
        <w:t xml:space="preserve">-glucosidases, </w:t>
      </w:r>
      <w:r w:rsidRPr="00394776">
        <w:rPr>
          <w:rStyle w:val="Hyperlink"/>
          <w:i/>
          <w:iCs/>
          <w:color w:val="auto"/>
          <w:szCs w:val="24"/>
          <w:u w:val="none"/>
        </w:rPr>
        <w:t>J. Biol. Chem.</w:t>
      </w:r>
      <w:r w:rsidRPr="00394776">
        <w:rPr>
          <w:rStyle w:val="Hyperlink"/>
          <w:color w:val="auto"/>
          <w:szCs w:val="24"/>
          <w:u w:val="none"/>
        </w:rPr>
        <w:t xml:space="preserve"> </w:t>
      </w:r>
      <w:r w:rsidRPr="00394776">
        <w:rPr>
          <w:rStyle w:val="Hyperlink"/>
          <w:b/>
          <w:bCs/>
          <w:color w:val="auto"/>
          <w:szCs w:val="24"/>
          <w:u w:val="none"/>
        </w:rPr>
        <w:t>281(7)</w:t>
      </w:r>
      <w:r w:rsidRPr="00394776">
        <w:rPr>
          <w:rStyle w:val="Hyperlink"/>
          <w:color w:val="auto"/>
          <w:szCs w:val="24"/>
          <w:u w:val="none"/>
        </w:rPr>
        <w:t>, 4242</w:t>
      </w:r>
      <w:r w:rsidRPr="00317070">
        <w:rPr>
          <w:szCs w:val="24"/>
        </w:rPr>
        <w:t>–</w:t>
      </w:r>
      <w:r w:rsidRPr="00394776">
        <w:rPr>
          <w:rStyle w:val="Hyperlink"/>
          <w:color w:val="auto"/>
          <w:szCs w:val="24"/>
          <w:u w:val="none"/>
        </w:rPr>
        <w:t>4253.</w:t>
      </w:r>
    </w:p>
    <w:p w14:paraId="187278C4"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rStyle w:val="Hyperlink"/>
          <w:color w:val="auto"/>
          <w:szCs w:val="24"/>
          <w:u w:val="none"/>
        </w:rPr>
      </w:pPr>
    </w:p>
    <w:p w14:paraId="7A8FB1DE"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rStyle w:val="Hyperlink"/>
          <w:color w:val="auto"/>
          <w:szCs w:val="24"/>
          <w:u w:val="none"/>
        </w:rPr>
      </w:pPr>
      <w:r>
        <w:rPr>
          <w:rStyle w:val="Hyperlink"/>
          <w:color w:val="auto"/>
          <w:szCs w:val="24"/>
          <w:u w:val="none"/>
        </w:rPr>
        <w:t xml:space="preserve">Pereira, D. M., Valentão, P., and Andrade, P. B. (2018) Tuning protein folding in lysosomal storage diseases: the chemistry behind pharmacological chaperones. </w:t>
      </w:r>
      <w:r w:rsidRPr="00FA4773">
        <w:rPr>
          <w:rStyle w:val="Hyperlink"/>
          <w:i/>
          <w:iCs/>
          <w:color w:val="auto"/>
          <w:szCs w:val="24"/>
          <w:u w:val="none"/>
        </w:rPr>
        <w:t>Chem. Sci.</w:t>
      </w:r>
      <w:r>
        <w:rPr>
          <w:rStyle w:val="Hyperlink"/>
          <w:color w:val="auto"/>
          <w:szCs w:val="24"/>
          <w:u w:val="none"/>
        </w:rPr>
        <w:t xml:space="preserve"> </w:t>
      </w:r>
      <w:r w:rsidRPr="00FA4773">
        <w:rPr>
          <w:rStyle w:val="Hyperlink"/>
          <w:b/>
          <w:bCs/>
          <w:color w:val="auto"/>
          <w:szCs w:val="24"/>
          <w:u w:val="none"/>
        </w:rPr>
        <w:t>9</w:t>
      </w:r>
      <w:r>
        <w:rPr>
          <w:rStyle w:val="Hyperlink"/>
          <w:color w:val="auto"/>
          <w:szCs w:val="24"/>
          <w:u w:val="none"/>
        </w:rPr>
        <w:t>, 1740</w:t>
      </w:r>
      <w:r w:rsidRPr="00317070">
        <w:rPr>
          <w:szCs w:val="24"/>
        </w:rPr>
        <w:t>–</w:t>
      </w:r>
      <w:r>
        <w:rPr>
          <w:rStyle w:val="Hyperlink"/>
          <w:color w:val="auto"/>
          <w:szCs w:val="24"/>
          <w:u w:val="none"/>
        </w:rPr>
        <w:t>1752.</w:t>
      </w:r>
    </w:p>
    <w:p w14:paraId="75A79A77"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rStyle w:val="Hyperlink"/>
          <w:color w:val="auto"/>
          <w:szCs w:val="24"/>
          <w:u w:val="none"/>
        </w:rPr>
      </w:pPr>
    </w:p>
    <w:p w14:paraId="39DDBB25" w14:textId="77777777" w:rsidR="00E22449" w:rsidRDefault="00E22449" w:rsidP="00E22449">
      <w:pPr>
        <w:autoSpaceDE w:val="0"/>
        <w:autoSpaceDN w:val="0"/>
        <w:adjustRightInd w:val="0"/>
        <w:rPr>
          <w:szCs w:val="24"/>
        </w:rPr>
      </w:pPr>
      <w:r w:rsidRPr="0047298C">
        <w:rPr>
          <w:szCs w:val="24"/>
        </w:rPr>
        <w:t xml:space="preserve">Savini, M., Folick, A., Lee, Y.-T., Jin, F., Cuevas, A., Tillman, M. C., Duffy, J. D., Zhao, Q., Neve, I. A., Hu, P.-W., Yu, H., Zhang, Q., Ye, Y., Mair, W. B., Wang, J., Han, L., Ortlund, E. A., and Wang, M. C. </w:t>
      </w:r>
      <w:r>
        <w:rPr>
          <w:szCs w:val="24"/>
        </w:rPr>
        <w:t xml:space="preserve">(2022) </w:t>
      </w:r>
      <w:r w:rsidRPr="0047298C">
        <w:rPr>
          <w:szCs w:val="24"/>
        </w:rPr>
        <w:t>Lysosome lipid signalling from the periphery to</w:t>
      </w:r>
      <w:r>
        <w:rPr>
          <w:szCs w:val="24"/>
        </w:rPr>
        <w:t xml:space="preserve"> </w:t>
      </w:r>
      <w:r w:rsidRPr="0047298C">
        <w:rPr>
          <w:szCs w:val="24"/>
        </w:rPr>
        <w:t>neurons regulates longevity</w:t>
      </w:r>
      <w:r>
        <w:rPr>
          <w:szCs w:val="24"/>
        </w:rPr>
        <w:t xml:space="preserve">. </w:t>
      </w:r>
      <w:r w:rsidRPr="0047298C">
        <w:rPr>
          <w:i/>
          <w:iCs/>
          <w:szCs w:val="24"/>
        </w:rPr>
        <w:t>Nat. Cell Biol.</w:t>
      </w:r>
      <w:r>
        <w:rPr>
          <w:szCs w:val="24"/>
        </w:rPr>
        <w:t xml:space="preserve"> </w:t>
      </w:r>
      <w:r w:rsidRPr="0047298C">
        <w:rPr>
          <w:b/>
          <w:bCs/>
          <w:szCs w:val="24"/>
        </w:rPr>
        <w:t>24</w:t>
      </w:r>
      <w:r>
        <w:rPr>
          <w:szCs w:val="24"/>
        </w:rPr>
        <w:t>, 906</w:t>
      </w:r>
      <w:r w:rsidRPr="00317070">
        <w:rPr>
          <w:szCs w:val="24"/>
        </w:rPr>
        <w:t xml:space="preserve">– </w:t>
      </w:r>
      <w:r>
        <w:rPr>
          <w:szCs w:val="24"/>
        </w:rPr>
        <w:t>916.</w:t>
      </w:r>
    </w:p>
    <w:p w14:paraId="0A615449" w14:textId="77777777" w:rsidR="00E2244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rStyle w:val="Hyperlink"/>
          <w:color w:val="auto"/>
          <w:szCs w:val="24"/>
          <w:u w:val="none"/>
        </w:rPr>
      </w:pPr>
    </w:p>
    <w:p w14:paraId="52EB1FD4" w14:textId="77777777" w:rsidR="00E22449" w:rsidRPr="009A3B79" w:rsidRDefault="00E22449"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rPr>
          <w:szCs w:val="24"/>
        </w:rPr>
      </w:pPr>
      <w:r>
        <w:rPr>
          <w:rStyle w:val="Hyperlink"/>
          <w:color w:val="auto"/>
          <w:szCs w:val="24"/>
          <w:u w:val="none"/>
        </w:rPr>
        <w:t xml:space="preserve">Smith, L, Mullin, S., and Schapira, A. H. V. (2017) Insights into the structural biology of Gaucher disease. </w:t>
      </w:r>
      <w:r w:rsidRPr="00BC270E">
        <w:rPr>
          <w:rStyle w:val="Hyperlink"/>
          <w:i/>
          <w:iCs/>
          <w:color w:val="auto"/>
          <w:szCs w:val="24"/>
          <w:u w:val="none"/>
        </w:rPr>
        <w:t>Exp. Neuro.</w:t>
      </w:r>
      <w:r>
        <w:rPr>
          <w:rStyle w:val="Hyperlink"/>
          <w:color w:val="auto"/>
          <w:szCs w:val="24"/>
          <w:u w:val="none"/>
        </w:rPr>
        <w:t xml:space="preserve"> </w:t>
      </w:r>
      <w:r w:rsidRPr="00BC270E">
        <w:rPr>
          <w:rStyle w:val="Hyperlink"/>
          <w:b/>
          <w:bCs/>
          <w:color w:val="auto"/>
          <w:szCs w:val="24"/>
          <w:u w:val="none"/>
        </w:rPr>
        <w:t>298</w:t>
      </w:r>
      <w:r>
        <w:rPr>
          <w:rStyle w:val="Hyperlink"/>
          <w:color w:val="auto"/>
          <w:szCs w:val="24"/>
          <w:u w:val="none"/>
        </w:rPr>
        <w:t>, 180</w:t>
      </w:r>
      <w:r w:rsidRPr="00317070">
        <w:rPr>
          <w:szCs w:val="24"/>
        </w:rPr>
        <w:t>–</w:t>
      </w:r>
      <w:r>
        <w:rPr>
          <w:rStyle w:val="Hyperlink"/>
          <w:color w:val="auto"/>
          <w:szCs w:val="24"/>
          <w:u w:val="none"/>
        </w:rPr>
        <w:t>190.</w:t>
      </w:r>
    </w:p>
    <w:p w14:paraId="66175BA8" w14:textId="1502FF33" w:rsidR="00915A86" w:rsidRPr="009A3B79" w:rsidRDefault="00915A86" w:rsidP="00E22449">
      <w:pPr>
        <w:widowControl w:val="0"/>
        <w:tabs>
          <w:tab w:val="left" w:pos="-504"/>
          <w:tab w:val="left" w:pos="0"/>
          <w:tab w:val="left" w:pos="396"/>
          <w:tab w:val="left" w:pos="720"/>
          <w:tab w:val="left" w:pos="900"/>
          <w:tab w:val="left" w:pos="1080"/>
          <w:tab w:val="left" w:pos="1440"/>
          <w:tab w:val="left" w:pos="1836"/>
          <w:tab w:val="left" w:pos="2160"/>
          <w:tab w:val="left" w:pos="2556"/>
          <w:tab w:val="left" w:pos="2880"/>
          <w:tab w:val="left" w:pos="3276"/>
          <w:tab w:val="left" w:pos="3600"/>
          <w:tab w:val="left" w:pos="3996"/>
          <w:tab w:val="left" w:pos="4320"/>
          <w:tab w:val="left" w:pos="4716"/>
          <w:tab w:val="left" w:pos="5040"/>
          <w:tab w:val="left" w:pos="5436"/>
          <w:tab w:val="left" w:pos="5760"/>
          <w:tab w:val="left" w:pos="6156"/>
          <w:tab w:val="left" w:pos="6480"/>
          <w:tab w:val="left" w:pos="6876"/>
          <w:tab w:val="left" w:pos="7200"/>
          <w:tab w:val="left" w:pos="7920"/>
          <w:tab w:val="left" w:pos="8640"/>
          <w:tab w:val="left" w:pos="9360"/>
          <w:tab w:val="left" w:pos="10080"/>
          <w:tab w:val="left" w:pos="10439"/>
        </w:tabs>
        <w:spacing w:line="264" w:lineRule="auto"/>
        <w:rPr>
          <w:szCs w:val="24"/>
        </w:rPr>
      </w:pPr>
    </w:p>
    <w:sectPr w:rsidR="00915A86" w:rsidRPr="009A3B79" w:rsidSect="00176027">
      <w:headerReference w:type="even" r:id="rId28"/>
      <w:headerReference w:type="default" r:id="rId29"/>
      <w:footerReference w:type="even" r:id="rId30"/>
      <w:footerReference w:type="default" r:id="rId31"/>
      <w:headerReference w:type="first" r:id="rId32"/>
      <w:pgSz w:w="12240" w:h="15840"/>
      <w:pgMar w:top="1008" w:right="1008" w:bottom="1008" w:left="1008" w:header="1008" w:footer="14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6F2F3F" w14:textId="77777777" w:rsidR="008D6FF8" w:rsidRDefault="008D6FF8">
      <w:r>
        <w:separator/>
      </w:r>
    </w:p>
  </w:endnote>
  <w:endnote w:type="continuationSeparator" w:id="0">
    <w:p w14:paraId="38DE210A" w14:textId="77777777" w:rsidR="008D6FF8" w:rsidRDefault="008D6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P MathA">
    <w:panose1 w:val="020B0604020202020204"/>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4732" w14:textId="77777777" w:rsidR="00031799" w:rsidRDefault="00EA5020">
    <w:pPr>
      <w:framePr w:w="10080" w:h="280" w:hRule="exact" w:wrap="notBeside" w:vAnchor="page" w:hAnchor="text" w:y="13634"/>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spacing w:line="0" w:lineRule="atLeast"/>
      <w:jc w:val="center"/>
      <w:rPr>
        <w:vanish/>
      </w:rPr>
    </w:pPr>
    <w:r>
      <w:pgNum/>
    </w:r>
  </w:p>
  <w:p w14:paraId="0B6511B3" w14:textId="77777777" w:rsidR="00031799" w:rsidRDefault="0003179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A37CD" w14:textId="77777777" w:rsidR="0010565C" w:rsidRDefault="0010565C" w:rsidP="0010565C">
    <w:pPr>
      <w:pStyle w:val="Footer"/>
      <w:pBdr>
        <w:top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10565C">
      <w:rPr>
        <w:color w:val="7F7F7F"/>
        <w:spacing w:val="60"/>
      </w:rPr>
      <w:t>Page</w:t>
    </w:r>
  </w:p>
  <w:p w14:paraId="7E7653C7" w14:textId="77777777" w:rsidR="00031799" w:rsidRDefault="0003179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1B080F" w14:textId="77777777" w:rsidR="008D6FF8" w:rsidRDefault="008D6FF8">
      <w:r>
        <w:separator/>
      </w:r>
    </w:p>
  </w:footnote>
  <w:footnote w:type="continuationSeparator" w:id="0">
    <w:p w14:paraId="240932EF" w14:textId="77777777" w:rsidR="008D6FF8" w:rsidRDefault="008D6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78214" w14:textId="77777777" w:rsidR="00031799" w:rsidRDefault="0003179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DA9A9" w14:textId="4F82F3D8" w:rsidR="00031799" w:rsidRPr="00202247" w:rsidRDefault="00176027" w:rsidP="00176027">
    <w:pPr>
      <w:spacing w:line="264" w:lineRule="auto"/>
      <w:rPr>
        <w:sz w:val="20"/>
      </w:rPr>
    </w:pPr>
    <w:r w:rsidRPr="00202247">
      <w:rPr>
        <w:i/>
        <w:iCs/>
        <w:noProof/>
      </w:rPr>
      <mc:AlternateContent>
        <mc:Choice Requires="wps">
          <w:drawing>
            <wp:anchor distT="0" distB="0" distL="114300" distR="114300" simplePos="0" relativeHeight="251659264" behindDoc="0" locked="0" layoutInCell="1" allowOverlap="1" wp14:anchorId="2569D4DD" wp14:editId="07D4AD93">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dtdh="http://schemas.microsoft.com/office/word/2020/wordml/sdtdatahash" xmlns:w16du="http://schemas.microsoft.com/office/word/2023/wordml/word16du" xmlns:oel="http://schemas.microsoft.com/office/2019/extlst">
          <w:pict>
            <v:rect w14:anchorId="6A6BD011"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mc:Fallback>
      </mc:AlternateContent>
    </w:r>
    <w:r w:rsidRPr="00202247">
      <w:rPr>
        <w:i/>
        <w:iCs/>
        <w:sz w:val="20"/>
      </w:rPr>
      <w:t xml:space="preserve">Variant Acid </w:t>
    </w:r>
    <w:r w:rsidRPr="00202247">
      <w:rPr>
        <w:rFonts w:ascii="Symbol" w:hAnsi="Symbol"/>
        <w:i/>
        <w:iCs/>
        <w:sz w:val="20"/>
      </w:rPr>
      <w:t>b</w:t>
    </w:r>
    <w:r w:rsidRPr="00202247">
      <w:rPr>
        <w:i/>
        <w:iCs/>
        <w:sz w:val="20"/>
      </w:rPr>
      <w:t>-glucosidase and Gaucher</w:t>
    </w:r>
    <w:r w:rsidR="001D7BBE">
      <w:rPr>
        <w:i/>
        <w:iCs/>
        <w:sz w:val="20"/>
      </w:rPr>
      <w:t xml:space="preserve"> </w:t>
    </w:r>
    <w:r w:rsidRPr="00202247">
      <w:rPr>
        <w:i/>
        <w:iCs/>
        <w:sz w:val="20"/>
      </w:rPr>
      <w:t>Disease</w:t>
    </w:r>
    <w:r w:rsidRPr="00202247">
      <w:rPr>
        <w:sz w:val="20"/>
      </w:rPr>
      <w:t xml:space="preserve"> for Molecular Case Net</w:t>
    </w:r>
  </w:p>
  <w:p w14:paraId="6E763BA1" w14:textId="4D105D36" w:rsidR="00176027" w:rsidRDefault="00176027" w:rsidP="00176027">
    <w:pPr>
      <w:spacing w:line="264" w:lineRule="auto"/>
    </w:pPr>
    <w:r>
      <w:rPr>
        <w:noProof/>
      </w:rPr>
      <mc:AlternateContent>
        <mc:Choice Requires="wps">
          <w:drawing>
            <wp:anchor distT="0" distB="0" distL="114300" distR="114300" simplePos="0" relativeHeight="251660288" behindDoc="0" locked="0" layoutInCell="1" allowOverlap="1" wp14:anchorId="2D93A5F6" wp14:editId="02926F63">
              <wp:simplePos x="0" y="0"/>
              <wp:positionH relativeFrom="column">
                <wp:posOffset>3810</wp:posOffset>
              </wp:positionH>
              <wp:positionV relativeFrom="paragraph">
                <wp:posOffset>16859</wp:posOffset>
              </wp:positionV>
              <wp:extent cx="5997262"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9972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oel="http://schemas.microsoft.com/office/2019/extlst">
          <w:pict>
            <v:line w14:anchorId="678E453D"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1.35pt" to="47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TJnAEAAJQDAAAOAAAAZHJzL2Uyb0RvYy54bWysU02P0zAQvSPxHyzfadJKLGzUdA+7gguC&#10;FbA/wOuMG0u2xxqbJv33jN02RYCEQFwcf8x7M+/NZHs3eycOQMli6OV61UoBQeNgw76XT1/fvXor&#10;RcoqDMphgF4eIcm73csX2yl2sMER3QAkmCSkboq9HHOOXdMkPYJXaYURAj8aJK8yH2nfDKQmZveu&#10;2bTtTTMhDZFQQ0p8+3B6lLvKbwzo/MmYBFm4XnJtua5U1+eyNrut6vak4mj1uQz1D1V4ZQMnXage&#10;VFbiG9lfqLzVhAlNXmn0DRpjNVQNrGbd/qTmy6giVC1sToqLTen/0eqPh/vwSGzDFFOX4iMVFbMh&#10;X75cn5irWcfFLJiz0Hz5+vb2zeZmI4W+vDVXYKSU3wN6UTa9dDYUHapThw8pczIOvYTw4Zq67vLR&#10;QQl24TMYYQdOtq7oOhVw70gcFPdTaQ0hr0sPma9GF5ixzi3A9s/Ac3yBQp2YvwEviJoZQ17A3gak&#10;32XP86Vkc4q/OHDSXSx4xuFYm1Kt4dZXhecxLbP147nCrz/T7jsAAAD//wMAUEsDBBQABgAIAAAA&#10;IQBi+n802wAAAAQBAAAPAAAAZHJzL2Rvd25yZXYueG1sTI5RS8MwFIXfBf9DuIJvLl3ROWtvxxiI&#10;czCGmzAfs+baVpubkmRr9++Nvujj4Ry+8+WzwbTiRM43lhHGowQEcWl1wxXC2+7pZgrCB8VatZYJ&#10;4UweZsXlRa4ybXt+pdM2VCJC2GcKoQ6hy6T0ZU1G+ZHtiGP3YZ1RIUZXSe1UH+GmlWmSTKRRDceH&#10;WnW0qKn82h4Nwtotl4v56vzJm3fT79PVfvMyPCNeXw3zRxCBhvA3hh/9qA5FdDrYI2svWoRJ3CGk&#10;9yBi+XB7NwZx+M2yyOV/+eIbAAD//wMAUEsBAi0AFAAGAAgAAAAhALaDOJL+AAAA4QEAABMAAAAA&#10;AAAAAAAAAAAAAAAAAFtDb250ZW50X1R5cGVzXS54bWxQSwECLQAUAAYACAAAACEAOP0h/9YAAACU&#10;AQAACwAAAAAAAAAAAAAAAAAvAQAAX3JlbHMvLnJlbHNQSwECLQAUAAYACAAAACEAxTtkyZwBAACU&#10;AwAADgAAAAAAAAAAAAAAAAAuAgAAZHJzL2Uyb0RvYy54bWxQSwECLQAUAAYACAAAACEAYvp/NNsA&#10;AAAEAQAADwAAAAAAAAAAAAAAAAD2AwAAZHJzL2Rvd25yZXYueG1sUEsFBgAAAAAEAAQA8wAAAP4E&#10;AAAAAA==&#10;" strokecolor="#4472c4 [320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D5E01" w14:textId="3D6BD119" w:rsidR="00ED4765" w:rsidRDefault="00ED4765" w:rsidP="00ED4765">
    <w:pPr>
      <w:pStyle w:val="Header"/>
      <w:jc w:val="right"/>
    </w:pPr>
    <w:r>
      <w:rPr>
        <w:noProof/>
      </w:rPr>
      <w:drawing>
        <wp:inline distT="0" distB="0" distL="0" distR="0" wp14:anchorId="6C418E89" wp14:editId="2A061189">
          <wp:extent cx="1157288" cy="547724"/>
          <wp:effectExtent l="0" t="0" r="0" b="0"/>
          <wp:docPr id="10"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1157288" cy="54772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C"/>
      <w:lvlJc w:val="left"/>
      <w:rPr>
        <w:rFonts w:ascii="WP MathA" w:hAnsi="WP MathA"/>
      </w:rPr>
    </w:lvl>
    <w:lvl w:ilvl="1">
      <w:start w:val="1"/>
      <w:numFmt w:val="none"/>
      <w:suff w:val="nothing"/>
      <w:lvlText w:val="C"/>
      <w:lvlJc w:val="left"/>
      <w:rPr>
        <w:rFonts w:ascii="WP MathA" w:hAnsi="WP MathA"/>
      </w:rPr>
    </w:lvl>
    <w:lvl w:ilvl="2">
      <w:start w:val="1"/>
      <w:numFmt w:val="none"/>
      <w:suff w:val="nothing"/>
      <w:lvlText w:val="C"/>
      <w:lvlJc w:val="left"/>
      <w:rPr>
        <w:rFonts w:ascii="WP MathA" w:hAnsi="WP MathA"/>
      </w:rPr>
    </w:lvl>
    <w:lvl w:ilvl="3">
      <w:start w:val="1"/>
      <w:numFmt w:val="none"/>
      <w:suff w:val="nothing"/>
      <w:lvlText w:val="C"/>
      <w:lvlJc w:val="left"/>
      <w:rPr>
        <w:rFonts w:ascii="WP MathA" w:hAnsi="WP MathA"/>
      </w:rPr>
    </w:lvl>
    <w:lvl w:ilvl="4">
      <w:start w:val="1"/>
      <w:numFmt w:val="none"/>
      <w:suff w:val="nothing"/>
      <w:lvlText w:val="C"/>
      <w:lvlJc w:val="left"/>
      <w:rPr>
        <w:rFonts w:ascii="WP MathA" w:hAnsi="WP MathA"/>
      </w:rPr>
    </w:lvl>
    <w:lvl w:ilvl="5">
      <w:start w:val="1"/>
      <w:numFmt w:val="none"/>
      <w:suff w:val="nothing"/>
      <w:lvlText w:val="C"/>
      <w:lvlJc w:val="left"/>
      <w:rPr>
        <w:rFonts w:ascii="WP MathA" w:hAnsi="WP MathA"/>
      </w:rPr>
    </w:lvl>
    <w:lvl w:ilvl="6">
      <w:start w:val="1"/>
      <w:numFmt w:val="none"/>
      <w:suff w:val="nothing"/>
      <w:lvlText w:val="C"/>
      <w:lvlJc w:val="left"/>
      <w:rPr>
        <w:rFonts w:ascii="WP MathA" w:hAnsi="WP MathA"/>
      </w:rPr>
    </w:lvl>
    <w:lvl w:ilvl="7">
      <w:start w:val="1"/>
      <w:numFmt w:val="none"/>
      <w:suff w:val="nothing"/>
      <w:lvlText w:val="C"/>
      <w:lvlJc w:val="left"/>
      <w:rPr>
        <w:rFonts w:ascii="WP MathA" w:hAnsi="WP MathA"/>
      </w:rPr>
    </w:lvl>
    <w:lvl w:ilvl="8">
      <w:start w:val="1"/>
      <w:numFmt w:val="lowerRoman"/>
      <w:suff w:val="nothing"/>
      <w:lvlText w:val="%9)"/>
      <w:lvlJc w:val="left"/>
    </w:lvl>
  </w:abstractNum>
  <w:abstractNum w:abstractNumId="1" w15:restartNumberingAfterBreak="0">
    <w:nsid w:val="045B3A93"/>
    <w:multiLevelType w:val="hybridMultilevel"/>
    <w:tmpl w:val="BBC2859C"/>
    <w:lvl w:ilvl="0" w:tplc="AC26BE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7083"/>
    <w:multiLevelType w:val="hybridMultilevel"/>
    <w:tmpl w:val="2EF267DC"/>
    <w:lvl w:ilvl="0" w:tplc="DAE2B9E0">
      <w:start w:val="1"/>
      <w:numFmt w:val="bullet"/>
      <w:lvlText w:val="º"/>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135D4"/>
    <w:multiLevelType w:val="hybridMultilevel"/>
    <w:tmpl w:val="8A2A0326"/>
    <w:lvl w:ilvl="0" w:tplc="FFFFFFFF">
      <w:start w:val="1"/>
      <w:numFmt w:val="bullet"/>
      <w:lvlText w:val=""/>
      <w:lvlJc w:val="left"/>
      <w:pPr>
        <w:ind w:left="720" w:hanging="360"/>
      </w:pPr>
      <w:rPr>
        <w:rFonts w:ascii="Symbol" w:hAnsi="Symbol" w:hint="default"/>
        <w:sz w:val="16"/>
      </w:rPr>
    </w:lvl>
    <w:lvl w:ilvl="1" w:tplc="FFFFFFFF">
      <w:start w:val="1"/>
      <w:numFmt w:val="bullet"/>
      <w:lvlText w:val="•"/>
      <w:lvlJc w:val="left"/>
      <w:pPr>
        <w:ind w:left="720" w:hanging="360"/>
      </w:pPr>
      <w:rPr>
        <w:rFonts w:ascii="Times New Roman" w:hAnsi="Times New Roman" w:cs="Times New Roman"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E82902"/>
    <w:multiLevelType w:val="hybridMultilevel"/>
    <w:tmpl w:val="C08E9C2C"/>
    <w:lvl w:ilvl="0" w:tplc="AC26BE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A1150A"/>
    <w:multiLevelType w:val="hybridMultilevel"/>
    <w:tmpl w:val="6AD4A30C"/>
    <w:lvl w:ilvl="0" w:tplc="FFFFFFFF">
      <w:start w:val="1"/>
      <w:numFmt w:val="bullet"/>
      <w:lvlText w:val="•"/>
      <w:lvlJc w:val="left"/>
      <w:pPr>
        <w:ind w:left="720" w:hanging="360"/>
      </w:pPr>
      <w:rPr>
        <w:rFonts w:ascii="Times New Roman" w:hAnsi="Times New Roman" w:cs="Times New Roman" w:hint="default"/>
      </w:rPr>
    </w:lvl>
    <w:lvl w:ilvl="1" w:tplc="838E6E3E">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197867"/>
    <w:multiLevelType w:val="hybridMultilevel"/>
    <w:tmpl w:val="A02052FA"/>
    <w:lvl w:ilvl="0" w:tplc="AC26BEF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938EA"/>
    <w:multiLevelType w:val="hybridMultilevel"/>
    <w:tmpl w:val="3AB0E596"/>
    <w:lvl w:ilvl="0" w:tplc="FFFFFFFF">
      <w:start w:val="1"/>
      <w:numFmt w:val="bullet"/>
      <w:lvlText w:val="º"/>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DAE2B9E0">
      <w:start w:val="1"/>
      <w:numFmt w:val="bullet"/>
      <w:lvlText w:val="º"/>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B43F4B"/>
    <w:multiLevelType w:val="hybridMultilevel"/>
    <w:tmpl w:val="803AD330"/>
    <w:lvl w:ilvl="0" w:tplc="FFFFFFFF">
      <w:start w:val="1"/>
      <w:numFmt w:val="bullet"/>
      <w:lvlText w:val=""/>
      <w:lvlJc w:val="left"/>
      <w:pPr>
        <w:ind w:left="720" w:hanging="360"/>
      </w:pPr>
      <w:rPr>
        <w:rFonts w:ascii="Symbol" w:hAnsi="Symbol" w:hint="default"/>
        <w:sz w:val="16"/>
      </w:rPr>
    </w:lvl>
    <w:lvl w:ilvl="1" w:tplc="AC26BEF8">
      <w:start w:val="1"/>
      <w:numFmt w:val="bullet"/>
      <w:lvlText w:val="•"/>
      <w:lvlJc w:val="left"/>
      <w:pPr>
        <w:ind w:left="720" w:hanging="360"/>
      </w:pPr>
      <w:rPr>
        <w:rFonts w:ascii="Times New Roman"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FF7236"/>
    <w:multiLevelType w:val="hybridMultilevel"/>
    <w:tmpl w:val="0B40E02A"/>
    <w:lvl w:ilvl="0" w:tplc="FFFFFFFF">
      <w:start w:val="1"/>
      <w:numFmt w:val="bullet"/>
      <w:lvlText w:val=""/>
      <w:lvlJc w:val="left"/>
      <w:pPr>
        <w:ind w:left="720" w:hanging="360"/>
      </w:pPr>
      <w:rPr>
        <w:rFonts w:ascii="Symbol" w:hAnsi="Symbol" w:hint="default"/>
        <w:sz w:val="16"/>
      </w:rPr>
    </w:lvl>
    <w:lvl w:ilvl="1" w:tplc="DAE2B9E0">
      <w:start w:val="1"/>
      <w:numFmt w:val="bullet"/>
      <w:lvlText w:val="º"/>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9A1DB0"/>
    <w:multiLevelType w:val="hybridMultilevel"/>
    <w:tmpl w:val="40E4C300"/>
    <w:lvl w:ilvl="0" w:tplc="DAE2B9E0">
      <w:start w:val="1"/>
      <w:numFmt w:val="bullet"/>
      <w:lvlText w:val="º"/>
      <w:lvlJc w:val="left"/>
      <w:pPr>
        <w:ind w:left="1080" w:hanging="360"/>
      </w:pPr>
      <w:rPr>
        <w:rFonts w:ascii="Courier New" w:hAnsi="Courier New" w:hint="default"/>
        <w:sz w:val="16"/>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ECE164E"/>
    <w:multiLevelType w:val="hybridMultilevel"/>
    <w:tmpl w:val="AE42A6F2"/>
    <w:lvl w:ilvl="0" w:tplc="AC26BE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D63B03"/>
    <w:multiLevelType w:val="hybridMultilevel"/>
    <w:tmpl w:val="8F22AB46"/>
    <w:lvl w:ilvl="0" w:tplc="DAE2B9E0">
      <w:start w:val="1"/>
      <w:numFmt w:val="bullet"/>
      <w:lvlText w:val="º"/>
      <w:lvlJc w:val="left"/>
      <w:pPr>
        <w:ind w:left="1080" w:hanging="360"/>
      </w:pPr>
      <w:rPr>
        <w:rFonts w:ascii="Courier New" w:hAnsi="Courier New" w:hint="default"/>
        <w:sz w:val="16"/>
      </w:rPr>
    </w:lvl>
    <w:lvl w:ilvl="1" w:tplc="FFFFFFFF">
      <w:start w:val="1"/>
      <w:numFmt w:val="bullet"/>
      <w:lvlText w:val="º"/>
      <w:lvlJc w:val="left"/>
      <w:pPr>
        <w:ind w:left="252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94227C9"/>
    <w:multiLevelType w:val="hybridMultilevel"/>
    <w:tmpl w:val="2F88D782"/>
    <w:lvl w:ilvl="0" w:tplc="FFFFFFFF">
      <w:start w:val="1"/>
      <w:numFmt w:val="bullet"/>
      <w:lvlText w:val=""/>
      <w:lvlJc w:val="left"/>
      <w:pPr>
        <w:ind w:left="1080" w:hanging="360"/>
      </w:pPr>
      <w:rPr>
        <w:rFonts w:ascii="Symbol" w:hAnsi="Symbol" w:hint="default"/>
        <w:sz w:val="16"/>
      </w:rPr>
    </w:lvl>
    <w:lvl w:ilvl="1" w:tplc="DAE2B9E0">
      <w:start w:val="1"/>
      <w:numFmt w:val="bullet"/>
      <w:lvlText w:val="º"/>
      <w:lvlJc w:val="left"/>
      <w:pPr>
        <w:ind w:left="252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E07161F"/>
    <w:multiLevelType w:val="hybridMultilevel"/>
    <w:tmpl w:val="BD68CBA4"/>
    <w:lvl w:ilvl="0" w:tplc="AC26BEF8">
      <w:start w:val="1"/>
      <w:numFmt w:val="bullet"/>
      <w:lvlText w:val="•"/>
      <w:lvlJc w:val="left"/>
      <w:pPr>
        <w:ind w:left="1082" w:hanging="360"/>
      </w:pPr>
      <w:rPr>
        <w:rFonts w:ascii="Times New Roman" w:hAnsi="Times New Roman" w:cs="Times New Roman"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15" w15:restartNumberingAfterBreak="0">
    <w:nsid w:val="5A6E6C5B"/>
    <w:multiLevelType w:val="multilevel"/>
    <w:tmpl w:val="4A60AE4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6A4C1F"/>
    <w:multiLevelType w:val="hybridMultilevel"/>
    <w:tmpl w:val="D54EC806"/>
    <w:lvl w:ilvl="0" w:tplc="1DEA0502">
      <w:start w:val="1"/>
      <w:numFmt w:val="bullet"/>
      <w:lvlText w:val="º"/>
      <w:lvlJc w:val="left"/>
      <w:pPr>
        <w:ind w:left="1440" w:hanging="360"/>
      </w:pPr>
      <w:rPr>
        <w:rFonts w:ascii="Courier New" w:hAnsi="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4D629F4"/>
    <w:multiLevelType w:val="hybridMultilevel"/>
    <w:tmpl w:val="8490106E"/>
    <w:lvl w:ilvl="0" w:tplc="EDC68B56">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C0D72AF"/>
    <w:multiLevelType w:val="hybridMultilevel"/>
    <w:tmpl w:val="E9F4E040"/>
    <w:lvl w:ilvl="0" w:tplc="DAE2B9E0">
      <w:start w:val="1"/>
      <w:numFmt w:val="bullet"/>
      <w:lvlText w:val="º"/>
      <w:lvlJc w:val="left"/>
      <w:pPr>
        <w:ind w:left="1080" w:hanging="360"/>
      </w:pPr>
      <w:rPr>
        <w:rFonts w:ascii="Courier New" w:hAnsi="Courier New" w:hint="default"/>
        <w:sz w:val="16"/>
      </w:rPr>
    </w:lvl>
    <w:lvl w:ilvl="1" w:tplc="FFFFFFFF">
      <w:start w:val="1"/>
      <w:numFmt w:val="bullet"/>
      <w:lvlText w:val="º"/>
      <w:lvlJc w:val="left"/>
      <w:pPr>
        <w:ind w:left="252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EE63293"/>
    <w:multiLevelType w:val="hybridMultilevel"/>
    <w:tmpl w:val="FE525846"/>
    <w:lvl w:ilvl="0" w:tplc="4678B67A">
      <w:start w:val="1"/>
      <w:numFmt w:val="decimal"/>
      <w:lvlText w:val="%1."/>
      <w:lvlJc w:val="left"/>
      <w:pPr>
        <w:ind w:left="360" w:hanging="360"/>
      </w:pPr>
      <w:rPr>
        <w:rFonts w:ascii="Times New Roman" w:hAnsi="Times New Roman" w:hint="default"/>
        <w:b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85D6A4D"/>
    <w:multiLevelType w:val="hybridMultilevel"/>
    <w:tmpl w:val="74A0BBC4"/>
    <w:lvl w:ilvl="0" w:tplc="DAE2B9E0">
      <w:start w:val="1"/>
      <w:numFmt w:val="bullet"/>
      <w:lvlText w:val="º"/>
      <w:lvlJc w:val="left"/>
      <w:pPr>
        <w:ind w:left="1080" w:hanging="360"/>
      </w:pPr>
      <w:rPr>
        <w:rFonts w:ascii="Courier New" w:hAnsi="Courier New" w:hint="default"/>
        <w:sz w:val="16"/>
      </w:rPr>
    </w:lvl>
    <w:lvl w:ilvl="1" w:tplc="FFFFFFFF">
      <w:start w:val="1"/>
      <w:numFmt w:val="bullet"/>
      <w:lvlText w:val="º"/>
      <w:lvlJc w:val="left"/>
      <w:pPr>
        <w:ind w:left="252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7A0C69CD"/>
    <w:multiLevelType w:val="hybridMultilevel"/>
    <w:tmpl w:val="E93647A4"/>
    <w:lvl w:ilvl="0" w:tplc="AC26BEF8">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A196C30"/>
    <w:multiLevelType w:val="hybridMultilevel"/>
    <w:tmpl w:val="EED64610"/>
    <w:lvl w:ilvl="0" w:tplc="FFFFFFFF">
      <w:start w:val="1"/>
      <w:numFmt w:val="bullet"/>
      <w:lvlText w:val=""/>
      <w:lvlJc w:val="left"/>
      <w:pPr>
        <w:ind w:left="720" w:hanging="360"/>
      </w:pPr>
      <w:rPr>
        <w:rFonts w:ascii="Symbol" w:hAnsi="Symbol" w:hint="default"/>
        <w:sz w:val="16"/>
      </w:rPr>
    </w:lvl>
    <w:lvl w:ilvl="1" w:tplc="FFFFFFFF">
      <w:start w:val="1"/>
      <w:numFmt w:val="bullet"/>
      <w:lvlText w:val="•"/>
      <w:lvlJc w:val="left"/>
      <w:pPr>
        <w:ind w:left="720" w:hanging="360"/>
      </w:pPr>
      <w:rPr>
        <w:rFonts w:ascii="Times New Roman" w:hAnsi="Times New Roman" w:cs="Times New Roman" w:hint="default"/>
      </w:rPr>
    </w:lvl>
    <w:lvl w:ilvl="2" w:tplc="DAE2B9E0">
      <w:start w:val="1"/>
      <w:numFmt w:val="bullet"/>
      <w:lvlText w:val="º"/>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EB838CE"/>
    <w:multiLevelType w:val="hybridMultilevel"/>
    <w:tmpl w:val="0768A0C4"/>
    <w:lvl w:ilvl="0" w:tplc="AC26BE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B46B34"/>
    <w:multiLevelType w:val="hybridMultilevel"/>
    <w:tmpl w:val="E7705A8C"/>
    <w:lvl w:ilvl="0" w:tplc="AC26BE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9"/>
  </w:num>
  <w:num w:numId="4">
    <w:abstractNumId w:val="11"/>
  </w:num>
  <w:num w:numId="5">
    <w:abstractNumId w:val="17"/>
  </w:num>
  <w:num w:numId="6">
    <w:abstractNumId w:val="14"/>
  </w:num>
  <w:num w:numId="7">
    <w:abstractNumId w:val="8"/>
  </w:num>
  <w:num w:numId="8">
    <w:abstractNumId w:val="3"/>
  </w:num>
  <w:num w:numId="9">
    <w:abstractNumId w:val="22"/>
  </w:num>
  <w:num w:numId="10">
    <w:abstractNumId w:val="13"/>
  </w:num>
  <w:num w:numId="11">
    <w:abstractNumId w:val="20"/>
  </w:num>
  <w:num w:numId="12">
    <w:abstractNumId w:val="9"/>
  </w:num>
  <w:num w:numId="13">
    <w:abstractNumId w:val="12"/>
  </w:num>
  <w:num w:numId="14">
    <w:abstractNumId w:val="18"/>
  </w:num>
  <w:num w:numId="15">
    <w:abstractNumId w:val="6"/>
  </w:num>
  <w:num w:numId="16">
    <w:abstractNumId w:val="10"/>
  </w:num>
  <w:num w:numId="17">
    <w:abstractNumId w:val="16"/>
  </w:num>
  <w:num w:numId="18">
    <w:abstractNumId w:val="2"/>
  </w:num>
  <w:num w:numId="19">
    <w:abstractNumId w:val="21"/>
  </w:num>
  <w:num w:numId="20">
    <w:abstractNumId w:val="7"/>
  </w:num>
  <w:num w:numId="21">
    <w:abstractNumId w:val="24"/>
  </w:num>
  <w:num w:numId="22">
    <w:abstractNumId w:val="23"/>
  </w:num>
  <w:num w:numId="23">
    <w:abstractNumId w:val="5"/>
  </w:num>
  <w:num w:numId="24">
    <w:abstractNumId w:val="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65C"/>
    <w:rsid w:val="00014E15"/>
    <w:rsid w:val="00031799"/>
    <w:rsid w:val="000321DA"/>
    <w:rsid w:val="00037359"/>
    <w:rsid w:val="00037B3D"/>
    <w:rsid w:val="00040B2E"/>
    <w:rsid w:val="000447DA"/>
    <w:rsid w:val="000567DB"/>
    <w:rsid w:val="000742A8"/>
    <w:rsid w:val="000817AC"/>
    <w:rsid w:val="000A2B31"/>
    <w:rsid w:val="000C6273"/>
    <w:rsid w:val="000D5057"/>
    <w:rsid w:val="000D5FB2"/>
    <w:rsid w:val="000E29DB"/>
    <w:rsid w:val="000E34CF"/>
    <w:rsid w:val="000E5E5C"/>
    <w:rsid w:val="000F3E8E"/>
    <w:rsid w:val="000F6F8F"/>
    <w:rsid w:val="0010565C"/>
    <w:rsid w:val="00115944"/>
    <w:rsid w:val="00122110"/>
    <w:rsid w:val="00142094"/>
    <w:rsid w:val="00145FA7"/>
    <w:rsid w:val="001555EF"/>
    <w:rsid w:val="00162EC7"/>
    <w:rsid w:val="00163E16"/>
    <w:rsid w:val="001747C3"/>
    <w:rsid w:val="00176027"/>
    <w:rsid w:val="00182CA5"/>
    <w:rsid w:val="001B2AD1"/>
    <w:rsid w:val="001D22A5"/>
    <w:rsid w:val="001D2B08"/>
    <w:rsid w:val="001D40FC"/>
    <w:rsid w:val="001D7BBE"/>
    <w:rsid w:val="001E0246"/>
    <w:rsid w:val="001F5834"/>
    <w:rsid w:val="001F5CD9"/>
    <w:rsid w:val="00200D0A"/>
    <w:rsid w:val="00202247"/>
    <w:rsid w:val="002159D2"/>
    <w:rsid w:val="00226DDE"/>
    <w:rsid w:val="00226E1D"/>
    <w:rsid w:val="00230FD2"/>
    <w:rsid w:val="002521E2"/>
    <w:rsid w:val="002700FB"/>
    <w:rsid w:val="00270CBF"/>
    <w:rsid w:val="002900EC"/>
    <w:rsid w:val="00323BA7"/>
    <w:rsid w:val="00325DF2"/>
    <w:rsid w:val="003555B8"/>
    <w:rsid w:val="00394776"/>
    <w:rsid w:val="00395B5E"/>
    <w:rsid w:val="00396ECA"/>
    <w:rsid w:val="003973FC"/>
    <w:rsid w:val="003A168F"/>
    <w:rsid w:val="003A2241"/>
    <w:rsid w:val="003B72DD"/>
    <w:rsid w:val="003D3F1C"/>
    <w:rsid w:val="003D4157"/>
    <w:rsid w:val="003E191A"/>
    <w:rsid w:val="003E746C"/>
    <w:rsid w:val="003F47A2"/>
    <w:rsid w:val="00404473"/>
    <w:rsid w:val="0041573F"/>
    <w:rsid w:val="00417EDA"/>
    <w:rsid w:val="0042034F"/>
    <w:rsid w:val="004210AC"/>
    <w:rsid w:val="004535B3"/>
    <w:rsid w:val="00466DDE"/>
    <w:rsid w:val="00471090"/>
    <w:rsid w:val="004744E8"/>
    <w:rsid w:val="0047575A"/>
    <w:rsid w:val="004758E9"/>
    <w:rsid w:val="00476325"/>
    <w:rsid w:val="004868BE"/>
    <w:rsid w:val="004938F7"/>
    <w:rsid w:val="004A6035"/>
    <w:rsid w:val="004C5CB7"/>
    <w:rsid w:val="004C6803"/>
    <w:rsid w:val="004D5732"/>
    <w:rsid w:val="004D675C"/>
    <w:rsid w:val="004F759C"/>
    <w:rsid w:val="00503265"/>
    <w:rsid w:val="00504706"/>
    <w:rsid w:val="00516B64"/>
    <w:rsid w:val="005363D1"/>
    <w:rsid w:val="00536438"/>
    <w:rsid w:val="0056157A"/>
    <w:rsid w:val="0056353D"/>
    <w:rsid w:val="005836D5"/>
    <w:rsid w:val="005845AC"/>
    <w:rsid w:val="00585DB5"/>
    <w:rsid w:val="005B2315"/>
    <w:rsid w:val="005B2416"/>
    <w:rsid w:val="005D1C1F"/>
    <w:rsid w:val="005E717F"/>
    <w:rsid w:val="006274EC"/>
    <w:rsid w:val="00632B0E"/>
    <w:rsid w:val="00641C87"/>
    <w:rsid w:val="006546E9"/>
    <w:rsid w:val="006559F5"/>
    <w:rsid w:val="00656640"/>
    <w:rsid w:val="00656D5A"/>
    <w:rsid w:val="00673A4B"/>
    <w:rsid w:val="00675D28"/>
    <w:rsid w:val="00675E56"/>
    <w:rsid w:val="006907B9"/>
    <w:rsid w:val="0069170E"/>
    <w:rsid w:val="006A7D96"/>
    <w:rsid w:val="006C05AA"/>
    <w:rsid w:val="006D1AF1"/>
    <w:rsid w:val="006D5F9B"/>
    <w:rsid w:val="006E680D"/>
    <w:rsid w:val="006F1917"/>
    <w:rsid w:val="006F1DEA"/>
    <w:rsid w:val="006F232D"/>
    <w:rsid w:val="006F3F73"/>
    <w:rsid w:val="00707813"/>
    <w:rsid w:val="007143AA"/>
    <w:rsid w:val="0071537A"/>
    <w:rsid w:val="007159F0"/>
    <w:rsid w:val="007204C8"/>
    <w:rsid w:val="00721B9E"/>
    <w:rsid w:val="007272EE"/>
    <w:rsid w:val="00741A57"/>
    <w:rsid w:val="00746B63"/>
    <w:rsid w:val="00754E9A"/>
    <w:rsid w:val="00757A98"/>
    <w:rsid w:val="0076225E"/>
    <w:rsid w:val="00773300"/>
    <w:rsid w:val="0077634E"/>
    <w:rsid w:val="00786429"/>
    <w:rsid w:val="007A2A4C"/>
    <w:rsid w:val="007B2CC1"/>
    <w:rsid w:val="007C7FE6"/>
    <w:rsid w:val="007D0D5E"/>
    <w:rsid w:val="007D4209"/>
    <w:rsid w:val="007D7347"/>
    <w:rsid w:val="007E6473"/>
    <w:rsid w:val="0080011B"/>
    <w:rsid w:val="00817A00"/>
    <w:rsid w:val="00817B99"/>
    <w:rsid w:val="00820305"/>
    <w:rsid w:val="00823CFF"/>
    <w:rsid w:val="00830EF4"/>
    <w:rsid w:val="008478F9"/>
    <w:rsid w:val="008600C0"/>
    <w:rsid w:val="00861921"/>
    <w:rsid w:val="00863E2D"/>
    <w:rsid w:val="008655E1"/>
    <w:rsid w:val="00873211"/>
    <w:rsid w:val="008751C6"/>
    <w:rsid w:val="00886D74"/>
    <w:rsid w:val="00896F4C"/>
    <w:rsid w:val="00897F66"/>
    <w:rsid w:val="008A192A"/>
    <w:rsid w:val="008A1BBB"/>
    <w:rsid w:val="008A698C"/>
    <w:rsid w:val="008C1ADB"/>
    <w:rsid w:val="008C3BD1"/>
    <w:rsid w:val="008C3FE5"/>
    <w:rsid w:val="008C42D5"/>
    <w:rsid w:val="008C6406"/>
    <w:rsid w:val="008D6FF8"/>
    <w:rsid w:val="008E371A"/>
    <w:rsid w:val="00914370"/>
    <w:rsid w:val="00915A86"/>
    <w:rsid w:val="0092322E"/>
    <w:rsid w:val="00935D55"/>
    <w:rsid w:val="009416B1"/>
    <w:rsid w:val="0095017A"/>
    <w:rsid w:val="009612A9"/>
    <w:rsid w:val="00972706"/>
    <w:rsid w:val="00977BE9"/>
    <w:rsid w:val="00983384"/>
    <w:rsid w:val="00986293"/>
    <w:rsid w:val="009A3B79"/>
    <w:rsid w:val="009B1BDE"/>
    <w:rsid w:val="009B4120"/>
    <w:rsid w:val="009E6504"/>
    <w:rsid w:val="00A0702D"/>
    <w:rsid w:val="00A118E9"/>
    <w:rsid w:val="00A143B8"/>
    <w:rsid w:val="00A44C23"/>
    <w:rsid w:val="00A562EC"/>
    <w:rsid w:val="00A6468A"/>
    <w:rsid w:val="00A934D0"/>
    <w:rsid w:val="00AD42D2"/>
    <w:rsid w:val="00AD5317"/>
    <w:rsid w:val="00AD7344"/>
    <w:rsid w:val="00B00933"/>
    <w:rsid w:val="00B2122D"/>
    <w:rsid w:val="00B261C1"/>
    <w:rsid w:val="00B34066"/>
    <w:rsid w:val="00B52EF1"/>
    <w:rsid w:val="00B57C3A"/>
    <w:rsid w:val="00B67E48"/>
    <w:rsid w:val="00B842CA"/>
    <w:rsid w:val="00B9080E"/>
    <w:rsid w:val="00BA0CC8"/>
    <w:rsid w:val="00BB15FD"/>
    <w:rsid w:val="00BC10F8"/>
    <w:rsid w:val="00BC270E"/>
    <w:rsid w:val="00BD4653"/>
    <w:rsid w:val="00BE0ADE"/>
    <w:rsid w:val="00BE0FD2"/>
    <w:rsid w:val="00BF2670"/>
    <w:rsid w:val="00BF3CEC"/>
    <w:rsid w:val="00BF7875"/>
    <w:rsid w:val="00C014AA"/>
    <w:rsid w:val="00C23BEB"/>
    <w:rsid w:val="00C35A46"/>
    <w:rsid w:val="00C47503"/>
    <w:rsid w:val="00C532B5"/>
    <w:rsid w:val="00C62805"/>
    <w:rsid w:val="00C723EE"/>
    <w:rsid w:val="00C858B8"/>
    <w:rsid w:val="00C86A8B"/>
    <w:rsid w:val="00CA043A"/>
    <w:rsid w:val="00CA39E2"/>
    <w:rsid w:val="00CC2141"/>
    <w:rsid w:val="00CC29E0"/>
    <w:rsid w:val="00CD207B"/>
    <w:rsid w:val="00CD7AB8"/>
    <w:rsid w:val="00CF0962"/>
    <w:rsid w:val="00CF0D8B"/>
    <w:rsid w:val="00D20337"/>
    <w:rsid w:val="00D21452"/>
    <w:rsid w:val="00D25BE2"/>
    <w:rsid w:val="00D31B8F"/>
    <w:rsid w:val="00D5351A"/>
    <w:rsid w:val="00D6270F"/>
    <w:rsid w:val="00D6426A"/>
    <w:rsid w:val="00D66C70"/>
    <w:rsid w:val="00D700DF"/>
    <w:rsid w:val="00D74A91"/>
    <w:rsid w:val="00D7714E"/>
    <w:rsid w:val="00D7731C"/>
    <w:rsid w:val="00D80717"/>
    <w:rsid w:val="00DA40E1"/>
    <w:rsid w:val="00DA4823"/>
    <w:rsid w:val="00DA76F5"/>
    <w:rsid w:val="00DC3882"/>
    <w:rsid w:val="00DE0532"/>
    <w:rsid w:val="00DE20B1"/>
    <w:rsid w:val="00DE681C"/>
    <w:rsid w:val="00DF225F"/>
    <w:rsid w:val="00DF50F8"/>
    <w:rsid w:val="00E07988"/>
    <w:rsid w:val="00E1290E"/>
    <w:rsid w:val="00E22449"/>
    <w:rsid w:val="00E275E4"/>
    <w:rsid w:val="00E662A1"/>
    <w:rsid w:val="00E72DC9"/>
    <w:rsid w:val="00E74BB8"/>
    <w:rsid w:val="00E814C3"/>
    <w:rsid w:val="00E96AFA"/>
    <w:rsid w:val="00EA5020"/>
    <w:rsid w:val="00EA5CDC"/>
    <w:rsid w:val="00EA64ED"/>
    <w:rsid w:val="00EB1F29"/>
    <w:rsid w:val="00EB25EA"/>
    <w:rsid w:val="00EB721A"/>
    <w:rsid w:val="00EC3EB4"/>
    <w:rsid w:val="00EC57EF"/>
    <w:rsid w:val="00ED2F8A"/>
    <w:rsid w:val="00ED4765"/>
    <w:rsid w:val="00ED6436"/>
    <w:rsid w:val="00ED71F4"/>
    <w:rsid w:val="00ED7B9F"/>
    <w:rsid w:val="00EE1F0B"/>
    <w:rsid w:val="00EF75C6"/>
    <w:rsid w:val="00EF79BC"/>
    <w:rsid w:val="00F00150"/>
    <w:rsid w:val="00F11BFD"/>
    <w:rsid w:val="00F13635"/>
    <w:rsid w:val="00F22495"/>
    <w:rsid w:val="00F338D7"/>
    <w:rsid w:val="00F339A7"/>
    <w:rsid w:val="00F345FB"/>
    <w:rsid w:val="00F4043B"/>
    <w:rsid w:val="00F43581"/>
    <w:rsid w:val="00F739C9"/>
    <w:rsid w:val="00F7658E"/>
    <w:rsid w:val="00F86F3A"/>
    <w:rsid w:val="00FA08B4"/>
    <w:rsid w:val="00FA4773"/>
    <w:rsid w:val="00FC66D8"/>
    <w:rsid w:val="00FE700A"/>
    <w:rsid w:val="00FF6A71"/>
    <w:rsid w:val="00FF7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AB5414"/>
  <w15:chartTrackingRefBased/>
  <w15:docId w15:val="{76812461-2EE5-4E67-8C73-69ABDEBD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65C"/>
    <w:pPr>
      <w:tabs>
        <w:tab w:val="center" w:pos="4680"/>
        <w:tab w:val="right" w:pos="9360"/>
      </w:tabs>
    </w:pPr>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semiHidden/>
    <w:pPr>
      <w:widowControl w:val="0"/>
      <w:ind w:firstLine="720"/>
    </w:pPr>
  </w:style>
  <w:style w:type="character" w:styleId="FootnoteReference">
    <w:name w:val="footnote reference"/>
    <w:semiHidden/>
    <w:rPr>
      <w:vertAlign w:val="superscript"/>
    </w:rPr>
  </w:style>
  <w:style w:type="character" w:customStyle="1" w:styleId="HeaderChar">
    <w:name w:val="Header Char"/>
    <w:link w:val="Header"/>
    <w:uiPriority w:val="99"/>
    <w:rsid w:val="0010565C"/>
    <w:rPr>
      <w:sz w:val="24"/>
    </w:rPr>
  </w:style>
  <w:style w:type="paragraph" w:styleId="Footer">
    <w:name w:val="footer"/>
    <w:basedOn w:val="Normal"/>
    <w:link w:val="FooterChar"/>
    <w:uiPriority w:val="99"/>
    <w:unhideWhenUsed/>
    <w:rsid w:val="0010565C"/>
    <w:pPr>
      <w:tabs>
        <w:tab w:val="center" w:pos="4680"/>
        <w:tab w:val="right" w:pos="9360"/>
      </w:tabs>
    </w:pPr>
  </w:style>
  <w:style w:type="character" w:customStyle="1" w:styleId="FooterChar">
    <w:name w:val="Footer Char"/>
    <w:link w:val="Footer"/>
    <w:uiPriority w:val="99"/>
    <w:rsid w:val="0010565C"/>
    <w:rPr>
      <w:sz w:val="24"/>
    </w:rPr>
  </w:style>
  <w:style w:type="paragraph" w:styleId="ListParagraph">
    <w:name w:val="List Paragraph"/>
    <w:basedOn w:val="Normal"/>
    <w:uiPriority w:val="34"/>
    <w:qFormat/>
    <w:rsid w:val="00B67E48"/>
    <w:pPr>
      <w:ind w:left="720"/>
      <w:contextualSpacing/>
    </w:pPr>
  </w:style>
  <w:style w:type="character" w:styleId="Hyperlink">
    <w:name w:val="Hyperlink"/>
    <w:basedOn w:val="DefaultParagraphFont"/>
    <w:uiPriority w:val="99"/>
    <w:unhideWhenUsed/>
    <w:rsid w:val="00915A86"/>
    <w:rPr>
      <w:color w:val="0563C1" w:themeColor="hyperlink"/>
      <w:u w:val="single"/>
    </w:rPr>
  </w:style>
  <w:style w:type="character" w:styleId="UnresolvedMention">
    <w:name w:val="Unresolved Mention"/>
    <w:basedOn w:val="DefaultParagraphFont"/>
    <w:uiPriority w:val="99"/>
    <w:semiHidden/>
    <w:unhideWhenUsed/>
    <w:rsid w:val="00915A86"/>
    <w:rPr>
      <w:color w:val="605E5C"/>
      <w:shd w:val="clear" w:color="auto" w:fill="E1DFDD"/>
    </w:rPr>
  </w:style>
  <w:style w:type="table" w:styleId="TableGrid">
    <w:name w:val="Table Grid"/>
    <w:basedOn w:val="TableNormal"/>
    <w:uiPriority w:val="39"/>
    <w:rsid w:val="00CA0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3384"/>
    <w:rPr>
      <w:color w:val="954F72" w:themeColor="followedHyperlink"/>
      <w:u w:val="single"/>
    </w:rPr>
  </w:style>
  <w:style w:type="character" w:styleId="Strong">
    <w:name w:val="Strong"/>
    <w:basedOn w:val="DefaultParagraphFont"/>
    <w:uiPriority w:val="22"/>
    <w:qFormat/>
    <w:rsid w:val="00EB1F29"/>
    <w:rPr>
      <w:b/>
      <w:bCs/>
    </w:rPr>
  </w:style>
  <w:style w:type="paragraph" w:styleId="NormalWeb">
    <w:name w:val="Normal (Web)"/>
    <w:basedOn w:val="Normal"/>
    <w:uiPriority w:val="99"/>
    <w:unhideWhenUsed/>
    <w:rsid w:val="006A7D96"/>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240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hyperlink" Target="https://www.youtube.com/watch?v=mBlMI82JRfI&amp;t=1399s" TargetMode="Externa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hyperlink" Target="https://bio.libretexts.org/Bookshelves/Microbiology/Microbiology_(Boundless)/04%3A_Cell_Structure_of_Bacteria_Archaea_and_Eukaryotes/4.08%3A_Other_Eukaryotic_Components/4.8B%3A_Lysosomes" TargetMode="Externa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www.rcsb.org/search/browse/diseases"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yperlink" Target="https://www.rcsb.org/search/browse/diseases" TargetMode="External"/><Relationship Id="rId27" Type="http://schemas.openxmlformats.org/officeDocument/2006/relationships/image" Target="media/image12.png"/><Relationship Id="rId30" Type="http://schemas.openxmlformats.org/officeDocument/2006/relationships/footer" Target="footer1.xml"/><Relationship Id="rId8"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4672</Words>
  <Characters>26634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Cornely, Kathleen</dc:creator>
  <cp:keywords/>
  <cp:lastModifiedBy>Shuchismita Dutta</cp:lastModifiedBy>
  <cp:revision>3</cp:revision>
  <cp:lastPrinted>2021-02-07T01:54:00Z</cp:lastPrinted>
  <dcterms:created xsi:type="dcterms:W3CDTF">2024-12-30T14:36:00Z</dcterms:created>
  <dcterms:modified xsi:type="dcterms:W3CDTF">2024-12-30T14:44:00Z</dcterms:modified>
</cp:coreProperties>
</file>