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9B103" w14:textId="77777777" w:rsidR="00A04C29" w:rsidRDefault="004229BE">
      <w:pPr>
        <w:rPr>
          <w:rFonts w:ascii="Arial Rounded" w:eastAsia="Arial Rounded" w:hAnsi="Arial Rounded" w:cs="Arial Rounded"/>
          <w:b/>
          <w:sz w:val="32"/>
          <w:szCs w:val="32"/>
        </w:rPr>
      </w:pPr>
      <w:r>
        <w:rPr>
          <w:rFonts w:ascii="Arial Rounded" w:eastAsia="Arial Rounded" w:hAnsi="Arial Rounded" w:cs="Arial Rounded"/>
          <w:b/>
          <w:sz w:val="32"/>
          <w:szCs w:val="32"/>
        </w:rPr>
        <w:t>From Poison to Medicine</w:t>
      </w:r>
    </w:p>
    <w:p w14:paraId="07B877FD" w14:textId="77777777" w:rsidR="00A04C29" w:rsidRDefault="004229BE">
      <w:pPr>
        <w:rPr>
          <w:rFonts w:ascii="Arial Rounded" w:eastAsia="Arial Rounded" w:hAnsi="Arial Rounded" w:cs="Arial Rounded"/>
          <w:b/>
          <w:sz w:val="24"/>
          <w:szCs w:val="24"/>
        </w:rPr>
      </w:pPr>
      <w:r>
        <w:rPr>
          <w:rFonts w:ascii="Arial Rounded" w:eastAsia="Arial Rounded" w:hAnsi="Arial Rounded" w:cs="Arial Rounded"/>
          <w:b/>
          <w:sz w:val="24"/>
          <w:szCs w:val="24"/>
        </w:rPr>
        <w:t>Enzyme Kinetics, Inhibition, and Alzheimer’s Treatment</w:t>
      </w:r>
    </w:p>
    <w:p w14:paraId="4ADFEBB8" w14:textId="77777777" w:rsidR="00A04C29" w:rsidRDefault="00A04C29"/>
    <w:p w14:paraId="0B62BE46" w14:textId="77777777" w:rsidR="00A04C29" w:rsidRDefault="004229BE">
      <w:pPr>
        <w:rPr>
          <w:b/>
        </w:rPr>
      </w:pPr>
      <w:r>
        <w:rPr>
          <w:b/>
        </w:rPr>
        <w:t>An Introduction to Enzyme Kinetics</w:t>
      </w:r>
    </w:p>
    <w:p w14:paraId="662A4165" w14:textId="77777777" w:rsidR="00A04C29" w:rsidRDefault="004229BE">
      <w:r>
        <w:t>Enzymes are biological catalysts that affect the kinetics of a reaction by speeding up the rate. Enzymes are able to accomplish this in part by lowering the activation energy of the rate-limiting step. Knowledge of enzyme kinetics can lead to a better unde</w:t>
      </w:r>
      <w:r>
        <w:t>rstanding of an enzyme’s catalytic mechanism, how it may be inhibited, and the relative speed of an enzyme. In this case study, we’ve looked at acetylcholinesterase (</w:t>
      </w:r>
      <w:proofErr w:type="spellStart"/>
      <w:r>
        <w:t>AChE</w:t>
      </w:r>
      <w:proofErr w:type="spellEnd"/>
      <w:r>
        <w:t>) and how it can be irreversibly inhibited by sarin, and now we’ll look at its potenti</w:t>
      </w:r>
      <w:r>
        <w:t xml:space="preserve">al as a therapeutic target in the treatment of Alzheimer’s Disease (AD). </w:t>
      </w:r>
    </w:p>
    <w:p w14:paraId="7E1BA1D8" w14:textId="77777777" w:rsidR="00A04C29" w:rsidRDefault="00A04C29"/>
    <w:p w14:paraId="051CD9BA" w14:textId="77777777" w:rsidR="00A04C29" w:rsidRDefault="004229BE">
      <w:r>
        <w:t xml:space="preserve">In order to understand the significance of </w:t>
      </w:r>
      <w:proofErr w:type="spellStart"/>
      <w:r>
        <w:t>AChE’s</w:t>
      </w:r>
      <w:proofErr w:type="spellEnd"/>
      <w:r>
        <w:t xml:space="preserve"> properties, it is necessary to know the fundamental terms used in enzyme kinetics. The Michaelis-Menten equation is used to describ</w:t>
      </w:r>
      <w:r>
        <w:t xml:space="preserve">e the behavior of enzymes and is based upon the following reaction scheme: </w:t>
      </w:r>
    </w:p>
    <w:p w14:paraId="3ED96A98" w14:textId="77777777" w:rsidR="00A04C29" w:rsidRDefault="00A04C29"/>
    <w:p w14:paraId="35DB21A3" w14:textId="77777777" w:rsidR="00A04C29" w:rsidRDefault="004229BE">
      <w:pPr>
        <w:jc w:val="center"/>
        <w:rPr>
          <w:vertAlign w:val="subscript"/>
        </w:rPr>
      </w:pPr>
      <w:r>
        <w:rPr>
          <w:noProof/>
          <w:vertAlign w:val="subscript"/>
        </w:rPr>
        <w:drawing>
          <wp:inline distT="0" distB="0" distL="0" distR="0" wp14:anchorId="77FF9B6F" wp14:editId="23FAED55">
            <wp:extent cx="3333783" cy="527849"/>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333783" cy="527849"/>
                    </a:xfrm>
                    <a:prstGeom prst="rect">
                      <a:avLst/>
                    </a:prstGeom>
                    <a:ln/>
                  </pic:spPr>
                </pic:pic>
              </a:graphicData>
            </a:graphic>
          </wp:inline>
        </w:drawing>
      </w:r>
    </w:p>
    <w:p w14:paraId="32A62A94" w14:textId="77777777" w:rsidR="00A04C29" w:rsidRDefault="004229BE">
      <w:pPr>
        <w:rPr>
          <w:sz w:val="20"/>
          <w:szCs w:val="20"/>
        </w:rPr>
      </w:pPr>
      <w:r>
        <w:rPr>
          <w:b/>
          <w:sz w:val="20"/>
          <w:szCs w:val="20"/>
        </w:rPr>
        <w:t>Scheme 1:</w:t>
      </w:r>
      <w:r>
        <w:rPr>
          <w:sz w:val="20"/>
          <w:szCs w:val="20"/>
        </w:rPr>
        <w:t xml:space="preserve"> General scheme for an enzyme-catalyzed reaction</w:t>
      </w:r>
    </w:p>
    <w:p w14:paraId="2BBC4ABB" w14:textId="77777777" w:rsidR="00A04C29" w:rsidRDefault="004229BE">
      <w:pPr>
        <w:rPr>
          <w:sz w:val="20"/>
          <w:szCs w:val="20"/>
        </w:rPr>
      </w:pPr>
      <w:r>
        <w:rPr>
          <w:sz w:val="20"/>
          <w:szCs w:val="20"/>
        </w:rPr>
        <w:t xml:space="preserve">E = enzyme, S = substrate, P = product, ES = enzyme-substrate complex; </w:t>
      </w:r>
      <w:r>
        <w:rPr>
          <w:i/>
          <w:sz w:val="20"/>
          <w:szCs w:val="20"/>
        </w:rPr>
        <w:t>k</w:t>
      </w:r>
      <w:r>
        <w:rPr>
          <w:sz w:val="20"/>
          <w:szCs w:val="20"/>
          <w:vertAlign w:val="subscript"/>
        </w:rPr>
        <w:t>1</w:t>
      </w:r>
      <w:r>
        <w:rPr>
          <w:sz w:val="20"/>
          <w:szCs w:val="20"/>
        </w:rPr>
        <w:t xml:space="preserve"> and </w:t>
      </w:r>
      <w:r>
        <w:rPr>
          <w:i/>
          <w:sz w:val="20"/>
          <w:szCs w:val="20"/>
        </w:rPr>
        <w:t>k</w:t>
      </w:r>
      <w:r>
        <w:rPr>
          <w:sz w:val="20"/>
          <w:szCs w:val="20"/>
          <w:vertAlign w:val="subscript"/>
        </w:rPr>
        <w:t>-1</w:t>
      </w:r>
      <w:r>
        <w:rPr>
          <w:sz w:val="20"/>
          <w:szCs w:val="20"/>
        </w:rPr>
        <w:t xml:space="preserve"> are the rates for the forward and rev</w:t>
      </w:r>
      <w:r>
        <w:rPr>
          <w:sz w:val="20"/>
          <w:szCs w:val="20"/>
        </w:rPr>
        <w:t xml:space="preserve">erse reactions to form the enzyme–substrate complex [ES], respectively, and </w:t>
      </w:r>
      <w:r>
        <w:rPr>
          <w:i/>
          <w:sz w:val="20"/>
          <w:szCs w:val="20"/>
        </w:rPr>
        <w:t>k</w:t>
      </w:r>
      <w:r>
        <w:rPr>
          <w:sz w:val="20"/>
          <w:szCs w:val="20"/>
          <w:vertAlign w:val="subscript"/>
        </w:rPr>
        <w:t>2</w:t>
      </w:r>
      <w:r>
        <w:rPr>
          <w:sz w:val="20"/>
          <w:szCs w:val="20"/>
        </w:rPr>
        <w:t xml:space="preserve"> is the rate of product formation from [ES]. </w:t>
      </w:r>
    </w:p>
    <w:p w14:paraId="718BAF0A" w14:textId="77777777" w:rsidR="00A04C29" w:rsidRDefault="00A04C29"/>
    <w:p w14:paraId="16C6FAF0" w14:textId="77777777" w:rsidR="00A04C29" w:rsidRDefault="004229BE">
      <w:r>
        <w:t>To derive the Michaelis-Menten equation, two assumptions are made.</w:t>
      </w:r>
    </w:p>
    <w:p w14:paraId="6A9576AB" w14:textId="77777777" w:rsidR="00A04C29" w:rsidRDefault="004229BE">
      <w:pPr>
        <w:numPr>
          <w:ilvl w:val="0"/>
          <w:numId w:val="1"/>
        </w:numPr>
        <w:pBdr>
          <w:top w:val="nil"/>
          <w:left w:val="nil"/>
          <w:bottom w:val="nil"/>
          <w:right w:val="nil"/>
          <w:between w:val="nil"/>
        </w:pBdr>
      </w:pPr>
      <w:r>
        <w:rPr>
          <w:color w:val="000000"/>
        </w:rPr>
        <w:t>The reverse reaction of catalysis (</w:t>
      </w:r>
      <w:r>
        <w:rPr>
          <w:i/>
          <w:color w:val="000000"/>
        </w:rPr>
        <w:t>k</w:t>
      </w:r>
      <w:r>
        <w:rPr>
          <w:i/>
          <w:color w:val="000000"/>
          <w:vertAlign w:val="subscript"/>
        </w:rPr>
        <w:t>-</w:t>
      </w:r>
      <w:r>
        <w:rPr>
          <w:color w:val="000000"/>
          <w:vertAlign w:val="subscript"/>
        </w:rPr>
        <w:t>2</w:t>
      </w:r>
      <w:r>
        <w:rPr>
          <w:color w:val="000000"/>
        </w:rPr>
        <w:t>) is not incorporated because the equation describes initial rates when the concentration of product is near zero.</w:t>
      </w:r>
    </w:p>
    <w:p w14:paraId="02F661C8" w14:textId="77777777" w:rsidR="00A04C29" w:rsidRDefault="004229BE">
      <w:pPr>
        <w:numPr>
          <w:ilvl w:val="0"/>
          <w:numId w:val="1"/>
        </w:numPr>
        <w:pBdr>
          <w:top w:val="nil"/>
          <w:left w:val="nil"/>
          <w:bottom w:val="nil"/>
          <w:right w:val="nil"/>
          <w:between w:val="nil"/>
        </w:pBdr>
      </w:pPr>
      <w:r>
        <w:rPr>
          <w:color w:val="000000"/>
        </w:rPr>
        <w:t xml:space="preserve">The Steady State Approximation: the concentration of ES remains relatively constant as it is formed and broken down at the same rate. </w:t>
      </w:r>
    </w:p>
    <w:p w14:paraId="4111D919" w14:textId="77777777" w:rsidR="00A04C29" w:rsidRDefault="00A04C29">
      <w:pPr>
        <w:jc w:val="center"/>
        <w:rPr>
          <w:highlight w:val="white"/>
        </w:rPr>
      </w:pPr>
    </w:p>
    <w:p w14:paraId="64C26AB3" w14:textId="77777777" w:rsidR="00A04C29" w:rsidRDefault="004229BE">
      <w:pPr>
        <w:jc w:val="center"/>
      </w:pPr>
      <w:r>
        <w:rPr>
          <w:noProof/>
        </w:rPr>
        <w:drawing>
          <wp:inline distT="0" distB="0" distL="0" distR="0" wp14:anchorId="6C6FA108" wp14:editId="118190DE">
            <wp:extent cx="2948857" cy="430041"/>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948857" cy="430041"/>
                    </a:xfrm>
                    <a:prstGeom prst="rect">
                      <a:avLst/>
                    </a:prstGeom>
                    <a:ln/>
                  </pic:spPr>
                </pic:pic>
              </a:graphicData>
            </a:graphic>
          </wp:inline>
        </w:drawing>
      </w:r>
      <w:r>
        <w:t xml:space="preserve"> </w:t>
      </w:r>
    </w:p>
    <w:p w14:paraId="118444F9" w14:textId="77777777" w:rsidR="00A04C29" w:rsidRDefault="00A04C29"/>
    <w:p w14:paraId="1A56C62C" w14:textId="77777777" w:rsidR="00A04C29" w:rsidRDefault="004229BE">
      <w:r>
        <w:t>T</w:t>
      </w:r>
      <w:r>
        <w:t>he first term (</w:t>
      </w:r>
      <w:r>
        <w:rPr>
          <w:b/>
          <w:i/>
        </w:rPr>
        <w:t>V</w:t>
      </w:r>
      <w:r>
        <w:t xml:space="preserve">) is the velocity of an enzyme or its reaction rate. As the amount of substrate is increased, an enzyme becomes saturated and cannot react faster, no matter how much substrate is added. </w:t>
      </w:r>
      <w:r>
        <w:rPr>
          <w:b/>
          <w:i/>
        </w:rPr>
        <w:t>V</w:t>
      </w:r>
      <w:r>
        <w:rPr>
          <w:b/>
          <w:vertAlign w:val="subscript"/>
        </w:rPr>
        <w:t>max</w:t>
      </w:r>
      <w:r>
        <w:t xml:space="preserve"> is the maximum rate at which the enzyme-catalyzed</w:t>
      </w:r>
      <w:r>
        <w:t xml:space="preserve"> reaction can proceed. </w:t>
      </w:r>
    </w:p>
    <w:p w14:paraId="0DFD44ED" w14:textId="77777777" w:rsidR="00A04C29" w:rsidRDefault="00A04C29"/>
    <w:p w14:paraId="484A01C1" w14:textId="77777777" w:rsidR="00A04C29" w:rsidRDefault="004229BE">
      <w:r>
        <w:rPr>
          <w:noProof/>
        </w:rPr>
        <w:lastRenderedPageBreak/>
        <w:drawing>
          <wp:inline distT="0" distB="0" distL="0" distR="0" wp14:anchorId="329F49EC" wp14:editId="23E3C232">
            <wp:extent cx="5577430" cy="2380538"/>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577430" cy="2380538"/>
                    </a:xfrm>
                    <a:prstGeom prst="rect">
                      <a:avLst/>
                    </a:prstGeom>
                    <a:ln/>
                  </pic:spPr>
                </pic:pic>
              </a:graphicData>
            </a:graphic>
          </wp:inline>
        </w:drawing>
      </w:r>
    </w:p>
    <w:p w14:paraId="5A3211CB" w14:textId="77777777" w:rsidR="00A04C29" w:rsidRDefault="004229BE">
      <w:r>
        <w:rPr>
          <w:b/>
          <w:sz w:val="18"/>
          <w:szCs w:val="18"/>
        </w:rPr>
        <w:t>Figure 1.</w:t>
      </w:r>
      <w:r>
        <w:rPr>
          <w:sz w:val="18"/>
          <w:szCs w:val="18"/>
        </w:rPr>
        <w:t xml:space="preserve"> Saturation curve for an enzyme-catalyzed reaction, which relates the substrate concentration to the reaction rate. </w:t>
      </w:r>
    </w:p>
    <w:p w14:paraId="4DE179ED" w14:textId="77777777" w:rsidR="00A04C29" w:rsidRDefault="00A04C29"/>
    <w:p w14:paraId="5E0F697D" w14:textId="77777777" w:rsidR="00A04C29" w:rsidRDefault="004229BE">
      <w:pPr>
        <w:rPr>
          <w:color w:val="FF0000"/>
        </w:rPr>
      </w:pPr>
      <w:r>
        <w:rPr>
          <w:b/>
          <w:i/>
        </w:rPr>
        <w:t>K</w:t>
      </w:r>
      <w:r>
        <w:rPr>
          <w:b/>
          <w:vertAlign w:val="subscript"/>
        </w:rPr>
        <w:t>M</w:t>
      </w:r>
      <w:r>
        <w:t xml:space="preserve"> is the Michaelis constant and is independent of substrate or enzyme concentration. It also is the substrate concentration at half of the </w:t>
      </w:r>
      <w:r>
        <w:rPr>
          <w:i/>
        </w:rPr>
        <w:t>V</w:t>
      </w:r>
      <w:r>
        <w:rPr>
          <w:vertAlign w:val="subscript"/>
        </w:rPr>
        <w:t>max</w:t>
      </w:r>
      <w:r>
        <w:t>, which can be derived from the Michaelis-Menten equation. In simple terms, it can be thought of as a measure of a</w:t>
      </w:r>
      <w:r>
        <w:t xml:space="preserve">ffinity, the smaller the </w:t>
      </w:r>
      <w:r>
        <w:rPr>
          <w:i/>
        </w:rPr>
        <w:t>K</w:t>
      </w:r>
      <w:r>
        <w:rPr>
          <w:vertAlign w:val="subscript"/>
        </w:rPr>
        <w:t>M</w:t>
      </w:r>
      <w:r>
        <w:t xml:space="preserve">, the higher the affinity of the enzyme for the substrate. </w:t>
      </w:r>
    </w:p>
    <w:p w14:paraId="104ECBEF" w14:textId="77777777" w:rsidR="00A04C29" w:rsidRDefault="00A04C29"/>
    <w:p w14:paraId="39F25C67" w14:textId="77777777" w:rsidR="00A04C29" w:rsidRDefault="004229BE">
      <w:proofErr w:type="spellStart"/>
      <w:r>
        <w:rPr>
          <w:b/>
          <w:i/>
        </w:rPr>
        <w:t>k</w:t>
      </w:r>
      <w:r>
        <w:rPr>
          <w:b/>
          <w:vertAlign w:val="subscript"/>
        </w:rPr>
        <w:t>cat</w:t>
      </w:r>
      <w:proofErr w:type="spellEnd"/>
      <w:r>
        <w:rPr>
          <w:b/>
        </w:rPr>
        <w:t xml:space="preserve"> (</w:t>
      </w:r>
      <w:r>
        <w:rPr>
          <w:b/>
          <w:i/>
        </w:rPr>
        <w:t>k</w:t>
      </w:r>
      <w:r>
        <w:rPr>
          <w:b/>
          <w:vertAlign w:val="subscript"/>
        </w:rPr>
        <w:t>2</w:t>
      </w:r>
      <w:r>
        <w:rPr>
          <w:b/>
        </w:rPr>
        <w:t>)</w:t>
      </w:r>
      <w:r>
        <w:t xml:space="preserve"> is also known as the turnover number and is the rate of product formation when an enzyme is saturated with substrate. It describes the number of product molec</w:t>
      </w:r>
      <w:r>
        <w:t xml:space="preserve">ules made by each enzyme molecule per unit time. </w:t>
      </w:r>
    </w:p>
    <w:p w14:paraId="21CFA753" w14:textId="77777777" w:rsidR="00A04C29" w:rsidRDefault="00A04C29"/>
    <w:p w14:paraId="3652CEB4" w14:textId="77777777" w:rsidR="00A04C29" w:rsidRDefault="004229BE">
      <w:r>
        <w:t xml:space="preserve">Catalytic efficiency is </w:t>
      </w:r>
      <w:proofErr w:type="spellStart"/>
      <w:r>
        <w:rPr>
          <w:b/>
          <w:i/>
        </w:rPr>
        <w:t>k</w:t>
      </w:r>
      <w:r>
        <w:rPr>
          <w:b/>
          <w:vertAlign w:val="subscript"/>
        </w:rPr>
        <w:t>cat</w:t>
      </w:r>
      <w:proofErr w:type="spellEnd"/>
      <w:r>
        <w:rPr>
          <w:b/>
        </w:rPr>
        <w:t>/</w:t>
      </w:r>
      <w:r>
        <w:rPr>
          <w:b/>
          <w:i/>
        </w:rPr>
        <w:t>K</w:t>
      </w:r>
      <w:r>
        <w:rPr>
          <w:b/>
          <w:vertAlign w:val="subscript"/>
        </w:rPr>
        <w:t>M</w:t>
      </w:r>
      <w:r>
        <w:t xml:space="preserve"> and is a measure of enzyme efficiency that </w:t>
      </w:r>
      <w:proofErr w:type="gramStart"/>
      <w:r>
        <w:t>takes into account</w:t>
      </w:r>
      <w:proofErr w:type="gramEnd"/>
      <w:r>
        <w:t xml:space="preserve"> both the binding and catalytic events. Using these terms, a perfect enzyme would theoretically have a maximum c</w:t>
      </w:r>
      <w:r>
        <w:t xml:space="preserve">atalytic efficiency of </w:t>
      </w:r>
      <w:r>
        <w:rPr>
          <w:highlight w:val="white"/>
        </w:rPr>
        <w:t>10</w:t>
      </w:r>
      <w:r>
        <w:rPr>
          <w:highlight w:val="white"/>
          <w:vertAlign w:val="superscript"/>
        </w:rPr>
        <w:t>9</w:t>
      </w:r>
      <w:r>
        <w:rPr>
          <w:highlight w:val="white"/>
        </w:rPr>
        <w:t xml:space="preserve"> M</w:t>
      </w:r>
      <w:sdt>
        <w:sdtPr>
          <w:tag w:val="goog_rdk_0"/>
          <w:id w:val="1403257246"/>
        </w:sdtPr>
        <w:sdtEndPr/>
        <w:sdtContent>
          <w:r>
            <w:rPr>
              <w:rFonts w:ascii="Arial Unicode MS" w:eastAsia="Arial Unicode MS" w:hAnsi="Arial Unicode MS" w:cs="Arial Unicode MS"/>
              <w:highlight w:val="white"/>
              <w:vertAlign w:val="superscript"/>
            </w:rPr>
            <w:t>−</w:t>
          </w:r>
          <w:r>
            <w:rPr>
              <w:rFonts w:ascii="Arial Unicode MS" w:eastAsia="Arial Unicode MS" w:hAnsi="Arial Unicode MS" w:cs="Arial Unicode MS"/>
              <w:highlight w:val="white"/>
              <w:vertAlign w:val="superscript"/>
            </w:rPr>
            <w:t>1</w:t>
          </w:r>
        </w:sdtContent>
      </w:sdt>
      <w:r>
        <w:rPr>
          <w:highlight w:val="white"/>
        </w:rPr>
        <w:t xml:space="preserve"> s</w:t>
      </w:r>
      <w:sdt>
        <w:sdtPr>
          <w:tag w:val="goog_rdk_1"/>
          <w:id w:val="1686477940"/>
        </w:sdtPr>
        <w:sdtEndPr/>
        <w:sdtContent>
          <w:r>
            <w:rPr>
              <w:rFonts w:ascii="Arial Unicode MS" w:eastAsia="Arial Unicode MS" w:hAnsi="Arial Unicode MS" w:cs="Arial Unicode MS"/>
              <w:highlight w:val="white"/>
              <w:vertAlign w:val="superscript"/>
            </w:rPr>
            <w:t>−</w:t>
          </w:r>
          <w:r>
            <w:rPr>
              <w:rFonts w:ascii="Arial Unicode MS" w:eastAsia="Arial Unicode MS" w:hAnsi="Arial Unicode MS" w:cs="Arial Unicode MS"/>
              <w:highlight w:val="white"/>
              <w:vertAlign w:val="superscript"/>
            </w:rPr>
            <w:t>1</w:t>
          </w:r>
        </w:sdtContent>
      </w:sdt>
      <w:r>
        <w:t xml:space="preserve">. </w:t>
      </w:r>
    </w:p>
    <w:p w14:paraId="21D0A808" w14:textId="77777777" w:rsidR="00A04C29" w:rsidRDefault="00A04C29">
      <w:pPr>
        <w:spacing w:line="240" w:lineRule="auto"/>
        <w:rPr>
          <w:color w:val="0432FF"/>
        </w:rPr>
      </w:pPr>
    </w:p>
    <w:p w14:paraId="5CCB102C" w14:textId="77777777" w:rsidR="00A04C29" w:rsidRDefault="004229BE">
      <w:pPr>
        <w:spacing w:line="240" w:lineRule="auto"/>
        <w:rPr>
          <w:color w:val="0000FF"/>
        </w:rPr>
      </w:pPr>
      <w:r>
        <w:rPr>
          <w:color w:val="0000FF"/>
          <w:u w:val="single"/>
        </w:rPr>
        <w:t>Question 1</w:t>
      </w:r>
      <w:r>
        <w:rPr>
          <w:color w:val="0000FF"/>
        </w:rPr>
        <w:t xml:space="preserve">: Using the variables </w:t>
      </w:r>
      <w:r>
        <w:rPr>
          <w:i/>
          <w:color w:val="0000FF"/>
        </w:rPr>
        <w:t>K</w:t>
      </w:r>
      <w:r>
        <w:rPr>
          <w:color w:val="0000FF"/>
          <w:vertAlign w:val="subscript"/>
        </w:rPr>
        <w:t>M</w:t>
      </w:r>
      <w:r>
        <w:rPr>
          <w:color w:val="0000FF"/>
        </w:rPr>
        <w:t xml:space="preserve"> and </w:t>
      </w:r>
      <w:proofErr w:type="spellStart"/>
      <w:r>
        <w:rPr>
          <w:i/>
          <w:color w:val="0000FF"/>
        </w:rPr>
        <w:t>k</w:t>
      </w:r>
      <w:r>
        <w:rPr>
          <w:color w:val="0000FF"/>
          <w:vertAlign w:val="subscript"/>
        </w:rPr>
        <w:t>cat</w:t>
      </w:r>
      <w:proofErr w:type="spellEnd"/>
      <w:r>
        <w:rPr>
          <w:color w:val="0000FF"/>
        </w:rPr>
        <w:t xml:space="preserve">, describe the relative magnitudes of these terms for a perfect enzyme. </w:t>
      </w:r>
    </w:p>
    <w:p w14:paraId="75385CF2" w14:textId="77777777" w:rsidR="00A04C29" w:rsidRDefault="00A04C29">
      <w:pPr>
        <w:spacing w:line="240" w:lineRule="auto"/>
        <w:rPr>
          <w:color w:val="0000FF"/>
        </w:rPr>
      </w:pPr>
    </w:p>
    <w:p w14:paraId="0E529E83" w14:textId="77777777" w:rsidR="00A04C29" w:rsidRDefault="004229BE">
      <w:pPr>
        <w:spacing w:line="240" w:lineRule="auto"/>
        <w:rPr>
          <w:color w:val="0000FF"/>
        </w:rPr>
      </w:pPr>
      <w:bookmarkStart w:id="0" w:name="_heading=h.bwedif8rmxp5" w:colFirst="0" w:colLast="0"/>
      <w:bookmarkEnd w:id="0"/>
      <w:r>
        <w:rPr>
          <w:color w:val="0000FF"/>
          <w:u w:val="single"/>
        </w:rPr>
        <w:t>Question 2</w:t>
      </w:r>
      <w:r>
        <w:rPr>
          <w:color w:val="0000FF"/>
        </w:rPr>
        <w:t xml:space="preserve">: As described above, a perfect enzyme theoretically has a maximum catalytic efficiency of </w:t>
      </w:r>
      <w:r>
        <w:rPr>
          <w:color w:val="0000FF"/>
          <w:highlight w:val="white"/>
        </w:rPr>
        <w:t>10</w:t>
      </w:r>
      <w:r>
        <w:rPr>
          <w:color w:val="0000FF"/>
          <w:highlight w:val="white"/>
          <w:vertAlign w:val="superscript"/>
        </w:rPr>
        <w:t>9</w:t>
      </w:r>
      <w:r>
        <w:rPr>
          <w:color w:val="0000FF"/>
          <w:highlight w:val="white"/>
        </w:rPr>
        <w:t xml:space="preserve"> M</w:t>
      </w:r>
      <w:sdt>
        <w:sdtPr>
          <w:tag w:val="goog_rdk_2"/>
          <w:id w:val="1596509349"/>
        </w:sdtPr>
        <w:sdtEndPr/>
        <w:sdtContent>
          <w:r>
            <w:rPr>
              <w:rFonts w:ascii="Arial Unicode MS" w:eastAsia="Arial Unicode MS" w:hAnsi="Arial Unicode MS" w:cs="Arial Unicode MS"/>
              <w:color w:val="0000FF"/>
              <w:highlight w:val="white"/>
              <w:vertAlign w:val="superscript"/>
            </w:rPr>
            <w:t>−</w:t>
          </w:r>
          <w:r>
            <w:rPr>
              <w:rFonts w:ascii="Arial Unicode MS" w:eastAsia="Arial Unicode MS" w:hAnsi="Arial Unicode MS" w:cs="Arial Unicode MS"/>
              <w:color w:val="0000FF"/>
              <w:highlight w:val="white"/>
              <w:vertAlign w:val="superscript"/>
            </w:rPr>
            <w:t>1</w:t>
          </w:r>
        </w:sdtContent>
      </w:sdt>
      <w:r>
        <w:rPr>
          <w:color w:val="0000FF"/>
          <w:highlight w:val="white"/>
        </w:rPr>
        <w:t xml:space="preserve"> s</w:t>
      </w:r>
      <w:sdt>
        <w:sdtPr>
          <w:tag w:val="goog_rdk_3"/>
          <w:id w:val="1359083824"/>
        </w:sdtPr>
        <w:sdtEndPr/>
        <w:sdtContent>
          <w:r>
            <w:rPr>
              <w:rFonts w:ascii="Arial Unicode MS" w:eastAsia="Arial Unicode MS" w:hAnsi="Arial Unicode MS" w:cs="Arial Unicode MS"/>
              <w:color w:val="0000FF"/>
              <w:highlight w:val="white"/>
              <w:vertAlign w:val="superscript"/>
            </w:rPr>
            <w:t>−</w:t>
          </w:r>
          <w:r>
            <w:rPr>
              <w:rFonts w:ascii="Arial Unicode MS" w:eastAsia="Arial Unicode MS" w:hAnsi="Arial Unicode MS" w:cs="Arial Unicode MS"/>
              <w:color w:val="0000FF"/>
              <w:highlight w:val="white"/>
              <w:vertAlign w:val="superscript"/>
            </w:rPr>
            <w:t>1</w:t>
          </w:r>
        </w:sdtContent>
      </w:sdt>
      <w:r>
        <w:rPr>
          <w:color w:val="0000FF"/>
          <w:highlight w:val="white"/>
        </w:rPr>
        <w:t>. What are some potential</w:t>
      </w:r>
      <w:r>
        <w:rPr>
          <w:color w:val="0000FF"/>
        </w:rPr>
        <w:t xml:space="preserve"> factors that limit an enzyme from attaining catalytic perfection?</w:t>
      </w:r>
    </w:p>
    <w:p w14:paraId="1297BEF7" w14:textId="77777777" w:rsidR="00A04C29" w:rsidRDefault="00A04C29"/>
    <w:p w14:paraId="6285C61F" w14:textId="77777777" w:rsidR="00A04C29" w:rsidRDefault="004229BE">
      <w:r>
        <w:t xml:space="preserve">By rearranging the Michaelis-Menten equation, a plot can </w:t>
      </w:r>
      <w:r>
        <w:t>be generated that enables enzyme analysis (Figure 2). This is a Lineweaver–Burk plot in which the inverse of the reaction rate (1/</w:t>
      </w:r>
      <w:r>
        <w:rPr>
          <w:i/>
        </w:rPr>
        <w:t>v</w:t>
      </w:r>
      <w:r>
        <w:t>) is plotted against the inverse of the substrate concentration (1/[S]) to generate the double reciprocal plot. The</w:t>
      </w:r>
      <w:r>
        <w:rPr>
          <w:i/>
        </w:rPr>
        <w:t xml:space="preserve"> y</w:t>
      </w:r>
      <w:r>
        <w:t>-interce</w:t>
      </w:r>
      <w:r>
        <w:t>pt is 1/</w:t>
      </w:r>
      <w:r>
        <w:rPr>
          <w:i/>
        </w:rPr>
        <w:t>V</w:t>
      </w:r>
      <w:r>
        <w:rPr>
          <w:vertAlign w:val="subscript"/>
        </w:rPr>
        <w:t>max,</w:t>
      </w:r>
      <w:r>
        <w:t xml:space="preserve"> and the </w:t>
      </w:r>
      <w:r>
        <w:rPr>
          <w:i/>
        </w:rPr>
        <w:t>x</w:t>
      </w:r>
      <w:sdt>
        <w:sdtPr>
          <w:tag w:val="goog_rdk_4"/>
          <w:id w:val="600371383"/>
        </w:sdtPr>
        <w:sdtEndPr/>
        <w:sdtContent>
          <w:r>
            <w:rPr>
              <w:rFonts w:ascii="Arial Unicode MS" w:eastAsia="Arial Unicode MS" w:hAnsi="Arial Unicode MS" w:cs="Arial Unicode MS"/>
            </w:rPr>
            <w:t>-intercept is −1/</w:t>
          </w:r>
        </w:sdtContent>
      </w:sdt>
      <w:r>
        <w:rPr>
          <w:i/>
        </w:rPr>
        <w:t>K</w:t>
      </w:r>
      <w:r>
        <w:rPr>
          <w:vertAlign w:val="subscript"/>
        </w:rPr>
        <w:t>M</w:t>
      </w:r>
      <w:r>
        <w:t xml:space="preserve">. This graph is useful for comparing reversible inhibitors as the </w:t>
      </w:r>
      <w:r>
        <w:rPr>
          <w:i/>
        </w:rPr>
        <w:t>x</w:t>
      </w:r>
      <w:r>
        <w:t xml:space="preserve">- and </w:t>
      </w:r>
      <w:r>
        <w:rPr>
          <w:i/>
        </w:rPr>
        <w:t>y</w:t>
      </w:r>
      <w:r>
        <w:t>-intercepts allow us to calculate differences in binding affinity (</w:t>
      </w:r>
      <w:r>
        <w:rPr>
          <w:i/>
        </w:rPr>
        <w:t>K</w:t>
      </w:r>
      <w:r>
        <w:rPr>
          <w:vertAlign w:val="subscript"/>
        </w:rPr>
        <w:t>M</w:t>
      </w:r>
      <w:r>
        <w:t>) and reaction rate (</w:t>
      </w:r>
      <w:r>
        <w:rPr>
          <w:i/>
        </w:rPr>
        <w:t>v</w:t>
      </w:r>
      <w:r>
        <w:t xml:space="preserve">), respectively. </w:t>
      </w:r>
    </w:p>
    <w:p w14:paraId="410E7C89" w14:textId="77777777" w:rsidR="00A04C29" w:rsidRDefault="00A04C29"/>
    <w:p w14:paraId="63CC7579" w14:textId="77777777" w:rsidR="00A04C29" w:rsidRDefault="00A04C29">
      <w:pPr>
        <w:jc w:val="center"/>
      </w:pPr>
    </w:p>
    <w:p w14:paraId="35C39DC4" w14:textId="77777777" w:rsidR="00A04C29" w:rsidRDefault="004229BE">
      <w:pPr>
        <w:rPr>
          <w:b/>
          <w:sz w:val="18"/>
          <w:szCs w:val="18"/>
        </w:rPr>
      </w:pPr>
      <w:r>
        <w:rPr>
          <w:noProof/>
        </w:rPr>
        <w:drawing>
          <wp:anchor distT="0" distB="0" distL="114300" distR="114300" simplePos="0" relativeHeight="251658240" behindDoc="0" locked="0" layoutInCell="1" hidden="0" allowOverlap="1" wp14:anchorId="739DBB5F" wp14:editId="052A2918">
            <wp:simplePos x="0" y="0"/>
            <wp:positionH relativeFrom="column">
              <wp:posOffset>770255</wp:posOffset>
            </wp:positionH>
            <wp:positionV relativeFrom="paragraph">
              <wp:posOffset>0</wp:posOffset>
            </wp:positionV>
            <wp:extent cx="3657600" cy="2303780"/>
            <wp:effectExtent l="0" t="0" r="0" b="0"/>
            <wp:wrapSquare wrapText="bothSides" distT="0" distB="0" distL="114300" distR="114300"/>
            <wp:docPr id="50" name="image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line chart&#10;&#10;Description automatically generated"/>
                    <pic:cNvPicPr preferRelativeResize="0"/>
                  </pic:nvPicPr>
                  <pic:blipFill>
                    <a:blip r:embed="rId11"/>
                    <a:srcRect/>
                    <a:stretch>
                      <a:fillRect/>
                    </a:stretch>
                  </pic:blipFill>
                  <pic:spPr>
                    <a:xfrm>
                      <a:off x="0" y="0"/>
                      <a:ext cx="3657600" cy="2303780"/>
                    </a:xfrm>
                    <a:prstGeom prst="rect">
                      <a:avLst/>
                    </a:prstGeom>
                    <a:ln/>
                  </pic:spPr>
                </pic:pic>
              </a:graphicData>
            </a:graphic>
          </wp:anchor>
        </w:drawing>
      </w:r>
    </w:p>
    <w:p w14:paraId="2C8836E1" w14:textId="77777777" w:rsidR="00A04C29" w:rsidRDefault="00A04C29">
      <w:pPr>
        <w:rPr>
          <w:b/>
          <w:sz w:val="18"/>
          <w:szCs w:val="18"/>
        </w:rPr>
      </w:pPr>
    </w:p>
    <w:p w14:paraId="00AE24F1" w14:textId="77777777" w:rsidR="00A04C29" w:rsidRDefault="00A04C29">
      <w:pPr>
        <w:rPr>
          <w:b/>
          <w:sz w:val="18"/>
          <w:szCs w:val="18"/>
        </w:rPr>
      </w:pPr>
    </w:p>
    <w:p w14:paraId="33CBE4CE" w14:textId="77777777" w:rsidR="00A04C29" w:rsidRDefault="00A04C29">
      <w:pPr>
        <w:rPr>
          <w:b/>
          <w:sz w:val="18"/>
          <w:szCs w:val="18"/>
        </w:rPr>
      </w:pPr>
    </w:p>
    <w:p w14:paraId="30156F9B" w14:textId="77777777" w:rsidR="00A04C29" w:rsidRDefault="00A04C29">
      <w:pPr>
        <w:rPr>
          <w:b/>
          <w:sz w:val="18"/>
          <w:szCs w:val="18"/>
        </w:rPr>
      </w:pPr>
    </w:p>
    <w:p w14:paraId="41675833" w14:textId="77777777" w:rsidR="00A04C29" w:rsidRDefault="00A04C29">
      <w:pPr>
        <w:rPr>
          <w:b/>
          <w:sz w:val="18"/>
          <w:szCs w:val="18"/>
        </w:rPr>
      </w:pPr>
    </w:p>
    <w:p w14:paraId="34AF7847" w14:textId="77777777" w:rsidR="00A04C29" w:rsidRDefault="00A04C29">
      <w:pPr>
        <w:rPr>
          <w:b/>
          <w:sz w:val="18"/>
          <w:szCs w:val="18"/>
        </w:rPr>
      </w:pPr>
    </w:p>
    <w:p w14:paraId="4AA6128F" w14:textId="77777777" w:rsidR="00A04C29" w:rsidRDefault="00A04C29">
      <w:pPr>
        <w:rPr>
          <w:b/>
          <w:sz w:val="18"/>
          <w:szCs w:val="18"/>
        </w:rPr>
      </w:pPr>
    </w:p>
    <w:p w14:paraId="6022DED3" w14:textId="77777777" w:rsidR="00A04C29" w:rsidRDefault="00A04C29">
      <w:pPr>
        <w:rPr>
          <w:b/>
          <w:sz w:val="18"/>
          <w:szCs w:val="18"/>
        </w:rPr>
      </w:pPr>
    </w:p>
    <w:p w14:paraId="34CB2D8E" w14:textId="77777777" w:rsidR="00A04C29" w:rsidRDefault="00A04C29">
      <w:pPr>
        <w:rPr>
          <w:b/>
          <w:sz w:val="18"/>
          <w:szCs w:val="18"/>
        </w:rPr>
      </w:pPr>
    </w:p>
    <w:p w14:paraId="719F5F73" w14:textId="77777777" w:rsidR="00A04C29" w:rsidRDefault="00A04C29">
      <w:pPr>
        <w:rPr>
          <w:b/>
          <w:sz w:val="18"/>
          <w:szCs w:val="18"/>
        </w:rPr>
      </w:pPr>
    </w:p>
    <w:p w14:paraId="0A1DA7D5" w14:textId="77777777" w:rsidR="00A04C29" w:rsidRDefault="00A04C29">
      <w:pPr>
        <w:rPr>
          <w:b/>
          <w:sz w:val="18"/>
          <w:szCs w:val="18"/>
        </w:rPr>
      </w:pPr>
    </w:p>
    <w:p w14:paraId="2EBC3CF8" w14:textId="77777777" w:rsidR="00A04C29" w:rsidRDefault="00A04C29">
      <w:pPr>
        <w:rPr>
          <w:b/>
          <w:sz w:val="18"/>
          <w:szCs w:val="18"/>
        </w:rPr>
      </w:pPr>
    </w:p>
    <w:p w14:paraId="067BBE7A" w14:textId="77777777" w:rsidR="00A04C29" w:rsidRDefault="00A04C29">
      <w:pPr>
        <w:rPr>
          <w:b/>
          <w:sz w:val="18"/>
          <w:szCs w:val="18"/>
        </w:rPr>
      </w:pPr>
    </w:p>
    <w:p w14:paraId="544713A1" w14:textId="77777777" w:rsidR="00A04C29" w:rsidRDefault="00A04C29">
      <w:pPr>
        <w:rPr>
          <w:b/>
          <w:sz w:val="18"/>
          <w:szCs w:val="18"/>
        </w:rPr>
      </w:pPr>
    </w:p>
    <w:p w14:paraId="45C8E200" w14:textId="77777777" w:rsidR="00A04C29" w:rsidRDefault="00A04C29">
      <w:pPr>
        <w:rPr>
          <w:b/>
          <w:sz w:val="18"/>
          <w:szCs w:val="18"/>
        </w:rPr>
      </w:pPr>
    </w:p>
    <w:p w14:paraId="46930406" w14:textId="77777777" w:rsidR="00A04C29" w:rsidRDefault="00A04C29">
      <w:pPr>
        <w:rPr>
          <w:b/>
          <w:sz w:val="18"/>
          <w:szCs w:val="18"/>
        </w:rPr>
      </w:pPr>
    </w:p>
    <w:p w14:paraId="110E34D9" w14:textId="77777777" w:rsidR="00A04C29" w:rsidRDefault="004229BE">
      <w:pPr>
        <w:rPr>
          <w:color w:val="FF0000"/>
          <w:sz w:val="18"/>
          <w:szCs w:val="18"/>
        </w:rPr>
      </w:pPr>
      <w:r>
        <w:rPr>
          <w:b/>
          <w:sz w:val="18"/>
          <w:szCs w:val="18"/>
        </w:rPr>
        <w:t>Figure 2.</w:t>
      </w:r>
      <w:r>
        <w:rPr>
          <w:sz w:val="18"/>
          <w:szCs w:val="18"/>
        </w:rPr>
        <w:t xml:space="preserve"> A Lineweaver-Burk plot is a “double reciprocal” plot in which the inverse of the reaction velocity is plotted against the inverse of the substrate concentration. </w:t>
      </w:r>
    </w:p>
    <w:p w14:paraId="690E1410" w14:textId="77777777" w:rsidR="00A04C29" w:rsidRDefault="00A04C29"/>
    <w:p w14:paraId="5C24A298" w14:textId="77777777" w:rsidR="00A04C29" w:rsidRDefault="004229BE">
      <w:pPr>
        <w:rPr>
          <w:b/>
        </w:rPr>
      </w:pPr>
      <w:r>
        <w:rPr>
          <w:b/>
        </w:rPr>
        <w:t>Enzyme Inhibition</w:t>
      </w:r>
    </w:p>
    <w:p w14:paraId="047E99EF" w14:textId="77777777" w:rsidR="00A04C29" w:rsidRDefault="004229BE">
      <w:r>
        <w:t>There are multiple ways that an inhibitor can bind to an enzyme.</w:t>
      </w:r>
      <w:r>
        <w:t xml:space="preserve"> Understanding the general scheme for enzyme-substrate binding is crucial to understanding the different types of inhibition. When Lineweaver-Burk plots for the uninhibited enzyme are graphed alongside a plot of the inhibited enzyme, characteristic pattern</w:t>
      </w:r>
      <w:r>
        <w:t xml:space="preserve">s can be seen in the plot for each type of inhibition (Figure 3). </w:t>
      </w:r>
    </w:p>
    <w:p w14:paraId="07E40AD8" w14:textId="77777777" w:rsidR="00A04C29" w:rsidRDefault="00A04C29"/>
    <w:p w14:paraId="5280A99B" w14:textId="77777777" w:rsidR="00A04C29" w:rsidRDefault="004229BE">
      <w:r>
        <w:rPr>
          <w:color w:val="000000"/>
        </w:rPr>
        <w:t>The main types of reversible inhibition include competitive, uncompetitive, and noncompetitive inhibition. In competitive inhibition, the inhibitor binds directly to the active site, in th</w:t>
      </w:r>
      <w:r>
        <w:rPr>
          <w:color w:val="000000"/>
        </w:rPr>
        <w:t xml:space="preserve">is case “E”. By binding to the active </w:t>
      </w:r>
      <w:r>
        <w:t xml:space="preserve">site, the substrate is not able to bind as often, increasing </w:t>
      </w:r>
      <w:r>
        <w:rPr>
          <w:i/>
        </w:rPr>
        <w:t>K</w:t>
      </w:r>
      <w:r>
        <w:rPr>
          <w:vertAlign w:val="subscript"/>
        </w:rPr>
        <w:t>M</w:t>
      </w:r>
      <w:r>
        <w:t xml:space="preserve">. With a large enough amount of substrate, the </w:t>
      </w:r>
      <w:r>
        <w:rPr>
          <w:i/>
        </w:rPr>
        <w:t>V</w:t>
      </w:r>
      <w:r>
        <w:rPr>
          <w:vertAlign w:val="subscript"/>
        </w:rPr>
        <w:t>max</w:t>
      </w:r>
      <w:r>
        <w:t xml:space="preserve"> can still be achieved, therefore </w:t>
      </w:r>
      <w:r>
        <w:rPr>
          <w:i/>
        </w:rPr>
        <w:t>V</w:t>
      </w:r>
      <w:r>
        <w:rPr>
          <w:vertAlign w:val="subscript"/>
        </w:rPr>
        <w:t>max</w:t>
      </w:r>
      <w:r>
        <w:t xml:space="preserve"> is unchanged (Figure 3A).</w:t>
      </w:r>
    </w:p>
    <w:p w14:paraId="2CF76E6F" w14:textId="77777777" w:rsidR="00A04C29" w:rsidRDefault="00A04C29"/>
    <w:p w14:paraId="2B546AF9" w14:textId="77777777" w:rsidR="00A04C29" w:rsidRDefault="004229BE">
      <w:r>
        <w:t>In uncompetitive inhibition, the inhib</w:t>
      </w:r>
      <w:r>
        <w:t>itor binds only to the enzyme-substrate (ES) complex</w:t>
      </w:r>
      <w:r>
        <w:rPr>
          <w:color w:val="000000"/>
        </w:rPr>
        <w:t xml:space="preserve">. The inhibitor binds to the enzyme after the substrate has bound to the active site, which means that the inhibitor binds to a location outside of the active site. The bound enzyme-substrate </w:t>
      </w:r>
      <w:r>
        <w:t>complex is n</w:t>
      </w:r>
      <w:r>
        <w:t xml:space="preserve">ot as efficient at producing product, resulting in a reduced </w:t>
      </w:r>
      <w:r>
        <w:rPr>
          <w:i/>
        </w:rPr>
        <w:t>V</w:t>
      </w:r>
      <w:r>
        <w:rPr>
          <w:vertAlign w:val="subscript"/>
        </w:rPr>
        <w:t>max</w:t>
      </w:r>
      <w:r>
        <w:t xml:space="preserve">. The reduction in unbound enzyme-substrate complex results in a greater affinity for the substrate as the need to replenish ES increases, decreasing </w:t>
      </w:r>
      <w:r>
        <w:rPr>
          <w:i/>
        </w:rPr>
        <w:t>K</w:t>
      </w:r>
      <w:r>
        <w:rPr>
          <w:vertAlign w:val="subscript"/>
        </w:rPr>
        <w:t>M</w:t>
      </w:r>
      <w:r>
        <w:t xml:space="preserve"> (Figure 3B).</w:t>
      </w:r>
    </w:p>
    <w:p w14:paraId="60989358" w14:textId="77777777" w:rsidR="00A04C29" w:rsidRDefault="00A04C29"/>
    <w:p w14:paraId="58597C58" w14:textId="77777777" w:rsidR="00A04C29" w:rsidRDefault="004229BE">
      <w:r>
        <w:t>Noncompetitive inhibitio</w:t>
      </w:r>
      <w:r>
        <w:t>n involves a combination of both competitive and uncompetitive inh</w:t>
      </w:r>
      <w:r>
        <w:rPr>
          <w:color w:val="000000"/>
        </w:rPr>
        <w:t>ibition, as the inhibitor binds to both the enzyme (E) and the enzyme-substrate complex (ES). Thus, a noncompetitive inhibitor binds to a location outside of the active site and can do so wh</w:t>
      </w:r>
      <w:r>
        <w:rPr>
          <w:color w:val="000000"/>
        </w:rPr>
        <w:t xml:space="preserve">ether or not the substrate has already bound. If the </w:t>
      </w:r>
      <w:r>
        <w:rPr>
          <w:i/>
          <w:color w:val="000000"/>
        </w:rPr>
        <w:t>K</w:t>
      </w:r>
      <w:r>
        <w:rPr>
          <w:color w:val="000000"/>
          <w:vertAlign w:val="subscript"/>
        </w:rPr>
        <w:t>M</w:t>
      </w:r>
      <w:r>
        <w:rPr>
          <w:color w:val="000000"/>
        </w:rPr>
        <w:t xml:space="preserve"> is changed as a result, the noncompetitive inhibition is classified as “mixed”. A decrease in </w:t>
      </w:r>
      <w:r>
        <w:rPr>
          <w:i/>
          <w:color w:val="000000"/>
        </w:rPr>
        <w:t>K</w:t>
      </w:r>
      <w:r>
        <w:rPr>
          <w:color w:val="000000"/>
          <w:vertAlign w:val="subscript"/>
        </w:rPr>
        <w:t>M</w:t>
      </w:r>
      <w:r>
        <w:rPr>
          <w:color w:val="000000"/>
        </w:rPr>
        <w:t xml:space="preserve"> indicates that the inhibitor </w:t>
      </w:r>
      <w:proofErr w:type="gramStart"/>
      <w:r>
        <w:rPr>
          <w:color w:val="000000"/>
        </w:rPr>
        <w:lastRenderedPageBreak/>
        <w:t>has a preference for</w:t>
      </w:r>
      <w:proofErr w:type="gramEnd"/>
      <w:r>
        <w:rPr>
          <w:color w:val="000000"/>
        </w:rPr>
        <w:t xml:space="preserve"> the ES complex (Figure 3D); an increase in </w:t>
      </w:r>
      <w:r>
        <w:rPr>
          <w:i/>
          <w:color w:val="000000"/>
        </w:rPr>
        <w:t>K</w:t>
      </w:r>
      <w:r>
        <w:rPr>
          <w:color w:val="000000"/>
          <w:vertAlign w:val="subscript"/>
        </w:rPr>
        <w:t>M</w:t>
      </w:r>
      <w:r>
        <w:rPr>
          <w:color w:val="000000"/>
        </w:rPr>
        <w:t xml:space="preserve"> indicat</w:t>
      </w:r>
      <w:r>
        <w:rPr>
          <w:color w:val="000000"/>
        </w:rPr>
        <w:t xml:space="preserve">es that the inhibitor prefers free enzyme (Figure 3C). If the </w:t>
      </w:r>
      <w:r>
        <w:rPr>
          <w:i/>
          <w:color w:val="000000"/>
        </w:rPr>
        <w:t>K</w:t>
      </w:r>
      <w:r>
        <w:rPr>
          <w:color w:val="000000"/>
          <w:vertAlign w:val="subscript"/>
        </w:rPr>
        <w:t>M</w:t>
      </w:r>
      <w:r>
        <w:rPr>
          <w:color w:val="000000"/>
        </w:rPr>
        <w:t xml:space="preserve"> is unchanged (indicating that the inhibitor binds to E and ES with equal affinity), the type of inhibition is classified as “pure” noncompetitive inhibition (Figure 3E)</w:t>
      </w:r>
      <w:r>
        <w:t xml:space="preserve">. </w:t>
      </w:r>
    </w:p>
    <w:p w14:paraId="7C0432F4" w14:textId="77777777" w:rsidR="00A04C29" w:rsidRDefault="00A04C29"/>
    <w:p w14:paraId="4823A590" w14:textId="77777777" w:rsidR="00A04C29" w:rsidRDefault="004229BE">
      <w:r>
        <w:rPr>
          <w:noProof/>
        </w:rPr>
        <w:drawing>
          <wp:anchor distT="0" distB="0" distL="114300" distR="114300" simplePos="0" relativeHeight="251659264" behindDoc="0" locked="0" layoutInCell="1" hidden="0" allowOverlap="1" wp14:anchorId="3D7741AE" wp14:editId="231F8063">
            <wp:simplePos x="0" y="0"/>
            <wp:positionH relativeFrom="column">
              <wp:posOffset>-299716</wp:posOffset>
            </wp:positionH>
            <wp:positionV relativeFrom="paragraph">
              <wp:posOffset>278296</wp:posOffset>
            </wp:positionV>
            <wp:extent cx="6615430" cy="3452495"/>
            <wp:effectExtent l="0" t="0" r="0" b="0"/>
            <wp:wrapSquare wrapText="bothSides" distT="0" distB="0" distL="114300" distR="11430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615430" cy="3452495"/>
                    </a:xfrm>
                    <a:prstGeom prst="rect">
                      <a:avLst/>
                    </a:prstGeom>
                    <a:ln/>
                  </pic:spPr>
                </pic:pic>
              </a:graphicData>
            </a:graphic>
          </wp:anchor>
        </w:drawing>
      </w:r>
    </w:p>
    <w:p w14:paraId="1A9366F2" w14:textId="77777777" w:rsidR="00A04C29" w:rsidRDefault="00A04C29">
      <w:pPr>
        <w:rPr>
          <w:b/>
          <w:sz w:val="18"/>
          <w:szCs w:val="18"/>
        </w:rPr>
      </w:pPr>
    </w:p>
    <w:p w14:paraId="23E11F64" w14:textId="77777777" w:rsidR="00A04C29" w:rsidRDefault="00A04C29">
      <w:pPr>
        <w:rPr>
          <w:b/>
          <w:sz w:val="18"/>
          <w:szCs w:val="18"/>
        </w:rPr>
      </w:pPr>
    </w:p>
    <w:p w14:paraId="0E7E1221" w14:textId="77777777" w:rsidR="00A04C29" w:rsidRDefault="004229BE">
      <w:pPr>
        <w:rPr>
          <w:color w:val="000000"/>
          <w:sz w:val="18"/>
          <w:szCs w:val="18"/>
        </w:rPr>
      </w:pPr>
      <w:r>
        <w:rPr>
          <w:b/>
          <w:sz w:val="18"/>
          <w:szCs w:val="18"/>
        </w:rPr>
        <w:t>Figure 3.</w:t>
      </w:r>
      <w:r>
        <w:rPr>
          <w:sz w:val="18"/>
          <w:szCs w:val="18"/>
        </w:rPr>
        <w:t xml:space="preserve"> Linew</w:t>
      </w:r>
      <w:r>
        <w:rPr>
          <w:sz w:val="18"/>
          <w:szCs w:val="18"/>
        </w:rPr>
        <w:t xml:space="preserve">eaver-Burk plots can be used to determine the type of inhibitor in an enzyme-catalyzed reaction. </w:t>
      </w:r>
      <w:r>
        <w:rPr>
          <w:b/>
          <w:sz w:val="18"/>
          <w:szCs w:val="18"/>
        </w:rPr>
        <w:t xml:space="preserve">(A) </w:t>
      </w:r>
      <w:r>
        <w:rPr>
          <w:sz w:val="18"/>
          <w:szCs w:val="18"/>
        </w:rPr>
        <w:t xml:space="preserve">A competitive inhibitor results in an increase in the </w:t>
      </w:r>
      <w:r>
        <w:rPr>
          <w:i/>
          <w:sz w:val="18"/>
          <w:szCs w:val="18"/>
        </w:rPr>
        <w:t>K</w:t>
      </w:r>
      <w:r>
        <w:rPr>
          <w:sz w:val="18"/>
          <w:szCs w:val="18"/>
          <w:vertAlign w:val="subscript"/>
        </w:rPr>
        <w:t>M</w:t>
      </w:r>
      <w:r>
        <w:rPr>
          <w:sz w:val="18"/>
          <w:szCs w:val="18"/>
        </w:rPr>
        <w:t xml:space="preserve"> whereas the </w:t>
      </w:r>
      <w:r>
        <w:rPr>
          <w:i/>
          <w:sz w:val="18"/>
          <w:szCs w:val="18"/>
        </w:rPr>
        <w:t>V</w:t>
      </w:r>
      <w:r>
        <w:rPr>
          <w:sz w:val="18"/>
          <w:szCs w:val="18"/>
          <w:vertAlign w:val="subscript"/>
        </w:rPr>
        <w:t>max</w:t>
      </w:r>
      <w:r>
        <w:rPr>
          <w:sz w:val="18"/>
          <w:szCs w:val="18"/>
        </w:rPr>
        <w:t xml:space="preserve"> is unchanged; </w:t>
      </w:r>
      <w:r>
        <w:rPr>
          <w:b/>
          <w:sz w:val="18"/>
          <w:szCs w:val="18"/>
        </w:rPr>
        <w:t>(B)</w:t>
      </w:r>
      <w:r>
        <w:rPr>
          <w:sz w:val="18"/>
          <w:szCs w:val="18"/>
        </w:rPr>
        <w:t xml:space="preserve"> An uncompetitive inhibitor results in a proportional decrease in </w:t>
      </w:r>
      <w:r>
        <w:rPr>
          <w:i/>
          <w:sz w:val="18"/>
          <w:szCs w:val="18"/>
        </w:rPr>
        <w:t>V</w:t>
      </w:r>
      <w:r>
        <w:rPr>
          <w:sz w:val="18"/>
          <w:szCs w:val="18"/>
          <w:vertAlign w:val="subscript"/>
        </w:rPr>
        <w:t>max</w:t>
      </w:r>
      <w:r>
        <w:rPr>
          <w:sz w:val="18"/>
          <w:szCs w:val="18"/>
        </w:rPr>
        <w:t xml:space="preserve"> and </w:t>
      </w:r>
      <w:r>
        <w:rPr>
          <w:i/>
          <w:sz w:val="18"/>
          <w:szCs w:val="18"/>
        </w:rPr>
        <w:t>K</w:t>
      </w:r>
      <w:r>
        <w:rPr>
          <w:sz w:val="18"/>
          <w:szCs w:val="18"/>
          <w:vertAlign w:val="subscript"/>
        </w:rPr>
        <w:t>M</w:t>
      </w:r>
      <w:r>
        <w:rPr>
          <w:sz w:val="18"/>
          <w:szCs w:val="18"/>
        </w:rPr>
        <w:t xml:space="preserve">, yielding plots with identical slopes; </w:t>
      </w:r>
      <w:r>
        <w:rPr>
          <w:b/>
          <w:sz w:val="18"/>
          <w:szCs w:val="18"/>
        </w:rPr>
        <w:t>(C)</w:t>
      </w:r>
      <w:r>
        <w:rPr>
          <w:sz w:val="18"/>
          <w:szCs w:val="18"/>
        </w:rPr>
        <w:t xml:space="preserve"> A noncompetitive inhibitor results in a decreased </w:t>
      </w:r>
      <w:r>
        <w:rPr>
          <w:i/>
          <w:sz w:val="18"/>
          <w:szCs w:val="18"/>
        </w:rPr>
        <w:t>V</w:t>
      </w:r>
      <w:r>
        <w:rPr>
          <w:sz w:val="18"/>
          <w:szCs w:val="18"/>
          <w:vertAlign w:val="subscript"/>
        </w:rPr>
        <w:t>max</w:t>
      </w:r>
      <w:r>
        <w:rPr>
          <w:sz w:val="18"/>
          <w:szCs w:val="18"/>
        </w:rPr>
        <w:t xml:space="preserve"> and </w:t>
      </w:r>
      <w:r>
        <w:rPr>
          <w:color w:val="000000"/>
          <w:sz w:val="18"/>
          <w:szCs w:val="18"/>
        </w:rPr>
        <w:t xml:space="preserve">either an increased </w:t>
      </w:r>
      <w:r>
        <w:rPr>
          <w:i/>
          <w:color w:val="000000"/>
          <w:sz w:val="18"/>
          <w:szCs w:val="18"/>
        </w:rPr>
        <w:t>K</w:t>
      </w:r>
      <w:r>
        <w:rPr>
          <w:color w:val="000000"/>
          <w:sz w:val="18"/>
          <w:szCs w:val="18"/>
          <w:vertAlign w:val="subscript"/>
        </w:rPr>
        <w:t>M</w:t>
      </w:r>
      <w:r>
        <w:rPr>
          <w:color w:val="000000"/>
          <w:sz w:val="18"/>
          <w:szCs w:val="18"/>
        </w:rPr>
        <w:t xml:space="preserve">, </w:t>
      </w:r>
      <w:r>
        <w:rPr>
          <w:b/>
          <w:color w:val="000000"/>
          <w:sz w:val="18"/>
          <w:szCs w:val="18"/>
        </w:rPr>
        <w:t>(D)</w:t>
      </w:r>
      <w:r>
        <w:rPr>
          <w:color w:val="000000"/>
          <w:sz w:val="18"/>
          <w:szCs w:val="18"/>
        </w:rPr>
        <w:t xml:space="preserve"> decreased </w:t>
      </w:r>
      <w:r>
        <w:rPr>
          <w:i/>
          <w:color w:val="000000"/>
          <w:sz w:val="18"/>
          <w:szCs w:val="18"/>
        </w:rPr>
        <w:t>K</w:t>
      </w:r>
      <w:r>
        <w:rPr>
          <w:color w:val="000000"/>
          <w:sz w:val="18"/>
          <w:szCs w:val="18"/>
          <w:vertAlign w:val="subscript"/>
        </w:rPr>
        <w:t>M</w:t>
      </w:r>
      <w:r>
        <w:rPr>
          <w:color w:val="000000"/>
          <w:sz w:val="18"/>
          <w:szCs w:val="18"/>
        </w:rPr>
        <w:t xml:space="preserve">, or an </w:t>
      </w:r>
      <w:r>
        <w:rPr>
          <w:b/>
          <w:color w:val="000000"/>
          <w:sz w:val="18"/>
          <w:szCs w:val="18"/>
        </w:rPr>
        <w:t>(E)</w:t>
      </w:r>
      <w:r>
        <w:rPr>
          <w:color w:val="000000"/>
          <w:sz w:val="18"/>
          <w:szCs w:val="18"/>
        </w:rPr>
        <w:t xml:space="preserve"> unchanged </w:t>
      </w:r>
      <w:r>
        <w:rPr>
          <w:i/>
          <w:color w:val="000000"/>
          <w:sz w:val="18"/>
          <w:szCs w:val="18"/>
        </w:rPr>
        <w:t>K</w:t>
      </w:r>
      <w:r>
        <w:rPr>
          <w:color w:val="000000"/>
          <w:sz w:val="18"/>
          <w:szCs w:val="18"/>
          <w:vertAlign w:val="subscript"/>
        </w:rPr>
        <w:t>M</w:t>
      </w:r>
      <w:r>
        <w:rPr>
          <w:color w:val="000000"/>
          <w:sz w:val="18"/>
          <w:szCs w:val="18"/>
        </w:rPr>
        <w:t xml:space="preserve">, depending </w:t>
      </w:r>
      <w:r>
        <w:rPr>
          <w:color w:val="000000"/>
          <w:sz w:val="18"/>
          <w:szCs w:val="18"/>
        </w:rPr>
        <w:t xml:space="preserve">on the preference of the inhibitor for E or ES. </w:t>
      </w:r>
    </w:p>
    <w:p w14:paraId="158A2474" w14:textId="77777777" w:rsidR="00A04C29" w:rsidRDefault="00A04C29"/>
    <w:p w14:paraId="6FA52CE9" w14:textId="77777777" w:rsidR="00A04C29" w:rsidRDefault="004229BE">
      <w:bookmarkStart w:id="1" w:name="_heading=h.gjdgxs" w:colFirst="0" w:colLast="0"/>
      <w:bookmarkEnd w:id="1"/>
      <w:r>
        <w:t xml:space="preserve">Similar to </w:t>
      </w:r>
      <w:r>
        <w:rPr>
          <w:i/>
        </w:rPr>
        <w:t>K</w:t>
      </w:r>
      <w:r>
        <w:rPr>
          <w:vertAlign w:val="subscript"/>
        </w:rPr>
        <w:t>M</w:t>
      </w:r>
      <w:r>
        <w:t xml:space="preserve">, </w:t>
      </w:r>
      <w:r>
        <w:rPr>
          <w:b/>
          <w:i/>
        </w:rPr>
        <w:t>K</w:t>
      </w:r>
      <w:r>
        <w:rPr>
          <w:b/>
          <w:vertAlign w:val="subscript"/>
        </w:rPr>
        <w:t>I</w:t>
      </w:r>
      <w:r>
        <w:t xml:space="preserve"> is the dissociation constant for the inhibitor and the enzyme. Unlike </w:t>
      </w:r>
      <w:r>
        <w:rPr>
          <w:i/>
        </w:rPr>
        <w:t>K</w:t>
      </w:r>
      <w:r>
        <w:rPr>
          <w:vertAlign w:val="subscript"/>
        </w:rPr>
        <w:t>M,</w:t>
      </w:r>
      <w:r>
        <w:t xml:space="preserve"> which is a kinetic parameter, </w:t>
      </w:r>
      <w:r>
        <w:rPr>
          <w:i/>
        </w:rPr>
        <w:t>K</w:t>
      </w:r>
      <w:r>
        <w:rPr>
          <w:vertAlign w:val="subscript"/>
        </w:rPr>
        <w:t>I</w:t>
      </w:r>
      <w:r>
        <w:t xml:space="preserve"> is a thermodynamic parameter meaning that it shows the true affinity an inhibitor</w:t>
      </w:r>
      <w:r>
        <w:t xml:space="preserve"> has for an enzyme. Because we potentially have inhibitors that bind either to free E or to the ES complex (or both), we designate two </w:t>
      </w:r>
      <w:r>
        <w:rPr>
          <w:i/>
        </w:rPr>
        <w:t>K</w:t>
      </w:r>
      <w:r>
        <w:rPr>
          <w:vertAlign w:val="subscript"/>
        </w:rPr>
        <w:t>I</w:t>
      </w:r>
      <w:r>
        <w:t xml:space="preserve"> values; </w:t>
      </w:r>
      <w:r>
        <w:rPr>
          <w:i/>
        </w:rPr>
        <w:t>K</w:t>
      </w:r>
      <w:r>
        <w:rPr>
          <w:vertAlign w:val="subscript"/>
        </w:rPr>
        <w:t>I</w:t>
      </w:r>
      <w:r>
        <w:t xml:space="preserve"> and </w:t>
      </w:r>
      <w:r>
        <w:rPr>
          <w:i/>
        </w:rPr>
        <w:t>K</w:t>
      </w:r>
      <w:r>
        <w:rPr>
          <w:vertAlign w:val="subscript"/>
        </w:rPr>
        <w:t>I</w:t>
      </w:r>
      <w:r>
        <w:t xml:space="preserve">'. The </w:t>
      </w:r>
      <w:r>
        <w:rPr>
          <w:i/>
        </w:rPr>
        <w:t>K</w:t>
      </w:r>
      <w:r>
        <w:rPr>
          <w:vertAlign w:val="subscript"/>
        </w:rPr>
        <w:t>I</w:t>
      </w:r>
      <w:r>
        <w:t xml:space="preserve"> value indicates the affinity of the inhibitor for the free enzyme and the </w:t>
      </w:r>
      <w:r>
        <w:rPr>
          <w:i/>
        </w:rPr>
        <w:t>K</w:t>
      </w:r>
      <w:r>
        <w:rPr>
          <w:vertAlign w:val="subscript"/>
        </w:rPr>
        <w:t>I</w:t>
      </w:r>
      <w:r>
        <w:t>' indicates the</w:t>
      </w:r>
      <w:r>
        <w:t xml:space="preserve"> affinity of the inhibitor for the ES complex. A lower value indicates a greater affinity.</w:t>
      </w:r>
    </w:p>
    <w:p w14:paraId="2EB8DE62" w14:textId="77777777" w:rsidR="00A04C29" w:rsidRDefault="00A04C29"/>
    <w:p w14:paraId="05381345" w14:textId="77777777" w:rsidR="00A04C29" w:rsidRDefault="004229BE">
      <w:r>
        <w:t xml:space="preserve">In order to calculate </w:t>
      </w:r>
      <w:r>
        <w:rPr>
          <w:i/>
        </w:rPr>
        <w:t>K</w:t>
      </w:r>
      <w:r>
        <w:rPr>
          <w:vertAlign w:val="subscript"/>
        </w:rPr>
        <w:t>I</w:t>
      </w:r>
      <w:r>
        <w:t xml:space="preserve">, we need to determine α, and to calculate </w:t>
      </w:r>
      <w:r>
        <w:rPr>
          <w:i/>
        </w:rPr>
        <w:t>K</w:t>
      </w:r>
      <w:r>
        <w:rPr>
          <w:vertAlign w:val="subscript"/>
        </w:rPr>
        <w:t>I</w:t>
      </w:r>
      <w:r>
        <w:t xml:space="preserve">', we need to calculate α'. Both α and α' are values that indicate the degree to which binding the inhibitor changes the enzyme kinetics for the substrate. These values are obtained by </w:t>
      </w:r>
      <w:r>
        <w:rPr>
          <w:color w:val="000000"/>
        </w:rPr>
        <w:t xml:space="preserve">comparing the values of </w:t>
      </w:r>
      <w:r>
        <w:rPr>
          <w:i/>
          <w:color w:val="000000"/>
        </w:rPr>
        <w:t>K</w:t>
      </w:r>
      <w:r>
        <w:rPr>
          <w:color w:val="000000"/>
          <w:vertAlign w:val="subscript"/>
        </w:rPr>
        <w:t>M</w:t>
      </w:r>
      <w:r>
        <w:rPr>
          <w:color w:val="000000"/>
        </w:rPr>
        <w:t xml:space="preserve"> and </w:t>
      </w:r>
      <w:r>
        <w:rPr>
          <w:i/>
          <w:color w:val="000000"/>
        </w:rPr>
        <w:t>V</w:t>
      </w:r>
      <w:r>
        <w:rPr>
          <w:color w:val="000000"/>
          <w:vertAlign w:val="subscript"/>
        </w:rPr>
        <w:t>max</w:t>
      </w:r>
      <w:r>
        <w:rPr>
          <w:color w:val="000000"/>
        </w:rPr>
        <w:t xml:space="preserve"> with and without inhibitor. The cha</w:t>
      </w:r>
      <w:r>
        <w:rPr>
          <w:color w:val="000000"/>
        </w:rPr>
        <w:t xml:space="preserve">nges expected for α and α’ for each type of the three </w:t>
      </w:r>
      <w:r>
        <w:rPr>
          <w:color w:val="000000"/>
        </w:rPr>
        <w:lastRenderedPageBreak/>
        <w:t xml:space="preserve">inhibitors discussed are shown in Table 1. For example, you will calculate α by comparing either the slopes or the </w:t>
      </w:r>
      <w:r>
        <w:rPr>
          <w:i/>
          <w:color w:val="000000"/>
        </w:rPr>
        <w:t>K</w:t>
      </w:r>
      <w:r>
        <w:rPr>
          <w:color w:val="000000"/>
          <w:vertAlign w:val="subscript"/>
        </w:rPr>
        <w:t>M</w:t>
      </w:r>
      <w:r>
        <w:rPr>
          <w:color w:val="000000"/>
        </w:rPr>
        <w:t xml:space="preserve"> values with and without inhibitor for a competitive inhibitor. You can calculate α</w:t>
      </w:r>
      <w:r>
        <w:t>'</w:t>
      </w:r>
      <w:r>
        <w:rPr>
          <w:color w:val="000000"/>
        </w:rPr>
        <w:t xml:space="preserve"> </w:t>
      </w:r>
      <w:r>
        <w:t xml:space="preserve">by comparing either the </w:t>
      </w:r>
      <w:r>
        <w:rPr>
          <w:i/>
        </w:rPr>
        <w:t>y</w:t>
      </w:r>
      <w:r>
        <w:t xml:space="preserve">-intercepts or the </w:t>
      </w:r>
      <w:r>
        <w:rPr>
          <w:i/>
        </w:rPr>
        <w:t>V</w:t>
      </w:r>
      <w:r>
        <w:rPr>
          <w:vertAlign w:val="subscript"/>
        </w:rPr>
        <w:t>max</w:t>
      </w:r>
      <w:r>
        <w:t xml:space="preserve"> values with and without inhibitor for either an uncompetitive inhibitor or a noncompetitive inhibitor.</w:t>
      </w:r>
    </w:p>
    <w:p w14:paraId="53480459" w14:textId="77777777" w:rsidR="00A04C29" w:rsidRDefault="00A04C29">
      <w:pPr>
        <w:rPr>
          <w:sz w:val="18"/>
          <w:szCs w:val="18"/>
        </w:rPr>
      </w:pPr>
    </w:p>
    <w:tbl>
      <w:tblPr>
        <w:tblStyle w:val="a8"/>
        <w:tblW w:w="9398"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90"/>
        <w:gridCol w:w="2520"/>
        <w:gridCol w:w="1440"/>
        <w:gridCol w:w="2160"/>
        <w:gridCol w:w="1388"/>
      </w:tblGrid>
      <w:tr w:rsidR="00A04C29" w14:paraId="30AA0117" w14:textId="77777777">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CDBB2B6" w14:textId="77777777" w:rsidR="00A04C29" w:rsidRDefault="00A04C29">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363A491"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b/>
                <w:sz w:val="20"/>
                <w:szCs w:val="20"/>
              </w:rPr>
              <w:t>Values of α and α</w:t>
            </w:r>
            <w:r>
              <w:rPr>
                <w:sz w:val="20"/>
                <w:szCs w:val="20"/>
              </w:rPr>
              <w:t>'</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AD2E37"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b/>
                <w:i/>
                <w:sz w:val="20"/>
                <w:szCs w:val="20"/>
              </w:rPr>
              <w:t>y</w:t>
            </w:r>
            <w:r>
              <w:rPr>
                <w:b/>
                <w:sz w:val="20"/>
                <w:szCs w:val="20"/>
              </w:rPr>
              <w:t>-intercept</w:t>
            </w:r>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D297CD"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b/>
                <w:i/>
                <w:sz w:val="20"/>
                <w:szCs w:val="20"/>
              </w:rPr>
              <w:t>x</w:t>
            </w:r>
            <w:r>
              <w:rPr>
                <w:b/>
                <w:sz w:val="20"/>
                <w:szCs w:val="20"/>
              </w:rPr>
              <w:t>-intercept</w:t>
            </w:r>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0164035"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b/>
                <w:sz w:val="20"/>
                <w:szCs w:val="20"/>
              </w:rPr>
              <w:t>slope</w:t>
            </w:r>
          </w:p>
        </w:tc>
      </w:tr>
      <w:tr w:rsidR="00A04C29" w14:paraId="2BB6520C" w14:textId="77777777">
        <w:trPr>
          <w:trHeight w:val="576"/>
        </w:trPr>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4F8AA9F"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b/>
                <w:sz w:val="20"/>
                <w:szCs w:val="20"/>
              </w:rPr>
              <w:t>no inhibitor</w:t>
            </w: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2B65261"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Cambria" w:eastAsia="Cambria" w:hAnsi="Cambria" w:cs="Cambria"/>
                <w:sz w:val="20"/>
                <w:szCs w:val="20"/>
              </w:rPr>
            </w:pPr>
            <w:proofErr w:type="gramStart"/>
            <w:r>
              <w:rPr>
                <w:rFonts w:ascii="Cambria" w:eastAsia="Cambria" w:hAnsi="Cambria" w:cs="Cambria"/>
                <w:sz w:val="20"/>
                <w:szCs w:val="20"/>
              </w:rPr>
              <w:t>α  =</w:t>
            </w:r>
            <w:proofErr w:type="gramEnd"/>
            <w:r>
              <w:rPr>
                <w:rFonts w:ascii="Cambria" w:eastAsia="Cambria" w:hAnsi="Cambria" w:cs="Cambria"/>
                <w:sz w:val="20"/>
                <w:szCs w:val="20"/>
              </w:rPr>
              <w:t xml:space="preserve"> 1</w:t>
            </w:r>
          </w:p>
          <w:p w14:paraId="37832B0E"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rFonts w:ascii="Cambria" w:eastAsia="Cambria" w:hAnsi="Cambria" w:cs="Cambria"/>
                <w:sz w:val="20"/>
                <w:szCs w:val="20"/>
              </w:rPr>
              <w:t>α' = 1</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E178D6E" w14:textId="77777777" w:rsidR="00A04C29" w:rsidRDefault="004229BE">
            <w:pPr>
              <w:jc w:val="center"/>
              <w:rPr>
                <w:rFonts w:ascii="Cambria Math" w:eastAsia="Cambria Math" w:hAnsi="Cambria Math" w:cs="Cambria Math"/>
                <w:sz w:val="20"/>
                <w:szCs w:val="20"/>
              </w:rPr>
            </w:pPr>
            <m:oMathPara>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max</m:t>
                        </m:r>
                      </m:sub>
                    </m:sSub>
                  </m:den>
                </m:f>
              </m:oMath>
            </m:oMathPara>
          </w:p>
          <w:p w14:paraId="28998A88" w14:textId="77777777" w:rsidR="00A04C29" w:rsidRDefault="00A04C29">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5644785" w14:textId="77777777" w:rsidR="00A04C29" w:rsidRDefault="004229BE">
            <w:pPr>
              <w:jc w:val="center"/>
              <w:rPr>
                <w:rFonts w:ascii="Cambria Math" w:eastAsia="Cambria Math" w:hAnsi="Cambria Math" w:cs="Cambria Math"/>
                <w:sz w:val="20"/>
                <w:szCs w:val="20"/>
              </w:rPr>
            </w:pPr>
            <m:oMathPara>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m:t>
                    </m:r>
                    <m:r>
                      <w:rPr>
                        <w:rFonts w:ascii="Cambria Math" w:eastAsia="Cambria Math" w:hAnsi="Cambria Math" w:cs="Cambria Math"/>
                        <w:sz w:val="20"/>
                        <w:szCs w:val="20"/>
                      </w:rPr>
                      <m:t>1</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M</m:t>
                        </m:r>
                      </m:sub>
                    </m:sSub>
                  </m:den>
                </m:f>
              </m:oMath>
            </m:oMathPara>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3187111" w14:textId="77777777" w:rsidR="00A04C29" w:rsidRDefault="004229BE">
            <w:pPr>
              <w:jc w:val="center"/>
              <w:rPr>
                <w:rFonts w:ascii="Cambria Math" w:eastAsia="Cambria Math" w:hAnsi="Cambria Math" w:cs="Cambria Math"/>
                <w:sz w:val="20"/>
                <w:szCs w:val="20"/>
              </w:rPr>
            </w:pPr>
            <m:oMathPara>
              <m:oMath>
                <m:f>
                  <m:fPr>
                    <m:ctrlPr>
                      <w:rPr>
                        <w:rFonts w:ascii="Cambria Math" w:hAnsi="Cambria Math"/>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M</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max</m:t>
                        </m:r>
                      </m:sub>
                    </m:sSub>
                  </m:den>
                </m:f>
              </m:oMath>
            </m:oMathPara>
          </w:p>
        </w:tc>
      </w:tr>
      <w:tr w:rsidR="00A04C29" w14:paraId="758D82E4" w14:textId="77777777">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C766B08"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b/>
                <w:sz w:val="20"/>
                <w:szCs w:val="20"/>
              </w:rPr>
              <w:t>competitive</w:t>
            </w: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F4CF20"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Cambria" w:eastAsia="Cambria" w:hAnsi="Cambria" w:cs="Cambria"/>
                <w:sz w:val="20"/>
                <w:szCs w:val="20"/>
              </w:rPr>
            </w:pPr>
            <w:proofErr w:type="gramStart"/>
            <w:r>
              <w:rPr>
                <w:rFonts w:ascii="Cambria" w:eastAsia="Cambria" w:hAnsi="Cambria" w:cs="Cambria"/>
                <w:sz w:val="20"/>
                <w:szCs w:val="20"/>
              </w:rPr>
              <w:t>α  &gt;</w:t>
            </w:r>
            <w:proofErr w:type="gramEnd"/>
            <w:r>
              <w:rPr>
                <w:rFonts w:ascii="Cambria" w:eastAsia="Cambria" w:hAnsi="Cambria" w:cs="Cambria"/>
                <w:sz w:val="20"/>
                <w:szCs w:val="20"/>
              </w:rPr>
              <w:t xml:space="preserve"> 1</w:t>
            </w:r>
          </w:p>
          <w:p w14:paraId="0BBAC177"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rFonts w:ascii="Cambria" w:eastAsia="Cambria" w:hAnsi="Cambria" w:cs="Cambria"/>
                <w:sz w:val="20"/>
                <w:szCs w:val="20"/>
              </w:rPr>
              <w:t>α' = 1</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69CA69C" w14:textId="77777777" w:rsidR="00A04C29" w:rsidRDefault="004229BE">
            <w:pPr>
              <w:jc w:val="center"/>
              <w:rPr>
                <w:rFonts w:ascii="Cambria Math" w:eastAsia="Cambria Math" w:hAnsi="Cambria Math" w:cs="Cambria Math"/>
                <w:sz w:val="20"/>
                <w:szCs w:val="20"/>
              </w:rPr>
            </w:pPr>
            <m:oMathPara>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max</m:t>
                        </m:r>
                      </m:sub>
                    </m:sSub>
                  </m:den>
                </m:f>
              </m:oMath>
            </m:oMathPara>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2B060E0" w14:textId="77777777" w:rsidR="00A04C29" w:rsidRDefault="004229BE">
            <w:pPr>
              <w:jc w:val="center"/>
              <w:rPr>
                <w:rFonts w:ascii="Cambria Math" w:eastAsia="Cambria Math" w:hAnsi="Cambria Math" w:cs="Cambria Math"/>
                <w:sz w:val="20"/>
                <w:szCs w:val="20"/>
              </w:rPr>
            </w:pPr>
            <m:oMathPara>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m:t>
                    </m:r>
                    <m:r>
                      <w:rPr>
                        <w:rFonts w:ascii="Cambria Math" w:eastAsia="Cambria Math" w:hAnsi="Cambria Math" w:cs="Cambria Math"/>
                        <w:sz w:val="20"/>
                        <w:szCs w:val="20"/>
                      </w:rPr>
                      <m:t>1</m:t>
                    </m:r>
                  </m:num>
                  <m:den>
                    <m:r>
                      <w:rPr>
                        <w:rFonts w:ascii="Cambria Math" w:eastAsia="Cambria Math" w:hAnsi="Cambria Math" w:cs="Cambria Math"/>
                        <w:sz w:val="20"/>
                        <w:szCs w:val="20"/>
                      </w:rPr>
                      <m:t>α</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M</m:t>
                        </m:r>
                      </m:sub>
                    </m:sSub>
                  </m:den>
                </m:f>
              </m:oMath>
            </m:oMathPara>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3813FAE" w14:textId="77777777" w:rsidR="00A04C29" w:rsidRDefault="004229BE">
            <w:pPr>
              <w:jc w:val="center"/>
              <w:rPr>
                <w:rFonts w:ascii="Cambria Math" w:eastAsia="Cambria Math" w:hAnsi="Cambria Math" w:cs="Cambria Math"/>
                <w:sz w:val="20"/>
                <w:szCs w:val="20"/>
              </w:rPr>
            </w:pPr>
            <m:oMathPara>
              <m:oMath>
                <m:f>
                  <m:fPr>
                    <m:ctrlPr>
                      <w:rPr>
                        <w:rFonts w:ascii="Cambria Math" w:hAnsi="Cambria Math"/>
                      </w:rPr>
                    </m:ctrlPr>
                  </m:fPr>
                  <m:num>
                    <m:sSub>
                      <m:sSubPr>
                        <m:ctrlPr>
                          <w:rPr>
                            <w:rFonts w:ascii="Cambria Math" w:eastAsia="Cambria Math" w:hAnsi="Cambria Math" w:cs="Cambria Math"/>
                            <w:sz w:val="20"/>
                            <w:szCs w:val="20"/>
                          </w:rPr>
                        </m:ctrlPr>
                      </m:sSubPr>
                      <m:e>
                        <m:r>
                          <w:rPr>
                            <w:rFonts w:ascii="Cambria Math" w:hAnsi="Cambria Math"/>
                          </w:rPr>
                          <m:t>α</m:t>
                        </m:r>
                        <m:r>
                          <w:rPr>
                            <w:rFonts w:ascii="Cambria Math" w:eastAsia="Cambria Math" w:hAnsi="Cambria Math" w:cs="Cambria Math"/>
                            <w:sz w:val="20"/>
                            <w:szCs w:val="20"/>
                          </w:rPr>
                          <m:t>K</m:t>
                        </m:r>
                      </m:e>
                      <m:sub>
                        <m:r>
                          <w:rPr>
                            <w:rFonts w:ascii="Cambria Math" w:eastAsia="Cambria Math" w:hAnsi="Cambria Math" w:cs="Cambria Math"/>
                            <w:sz w:val="20"/>
                            <w:szCs w:val="20"/>
                          </w:rPr>
                          <m:t>M</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max</m:t>
                        </m:r>
                      </m:sub>
                    </m:sSub>
                  </m:den>
                </m:f>
              </m:oMath>
            </m:oMathPara>
          </w:p>
          <w:p w14:paraId="6074A291" w14:textId="77777777" w:rsidR="00A04C29" w:rsidRDefault="00A04C29">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p>
        </w:tc>
      </w:tr>
      <w:tr w:rsidR="00A04C29" w14:paraId="71FE4EE8" w14:textId="77777777">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0E36C73"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b/>
                <w:sz w:val="20"/>
                <w:szCs w:val="20"/>
              </w:rPr>
              <w:t>uncompetitive</w:t>
            </w: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C448ED"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Cambria" w:eastAsia="Cambria" w:hAnsi="Cambria" w:cs="Cambria"/>
                <w:sz w:val="20"/>
                <w:szCs w:val="20"/>
              </w:rPr>
            </w:pPr>
            <w:proofErr w:type="gramStart"/>
            <w:r>
              <w:rPr>
                <w:rFonts w:ascii="Cambria" w:eastAsia="Cambria" w:hAnsi="Cambria" w:cs="Cambria"/>
                <w:sz w:val="20"/>
                <w:szCs w:val="20"/>
              </w:rPr>
              <w:t>α  =</w:t>
            </w:r>
            <w:proofErr w:type="gramEnd"/>
            <w:r>
              <w:rPr>
                <w:rFonts w:ascii="Cambria" w:eastAsia="Cambria" w:hAnsi="Cambria" w:cs="Cambria"/>
                <w:sz w:val="20"/>
                <w:szCs w:val="20"/>
              </w:rPr>
              <w:t xml:space="preserve"> 1</w:t>
            </w:r>
          </w:p>
          <w:p w14:paraId="682E7B12"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rFonts w:ascii="Cambria" w:eastAsia="Cambria" w:hAnsi="Cambria" w:cs="Cambria"/>
                <w:sz w:val="20"/>
                <w:szCs w:val="20"/>
              </w:rPr>
              <w:t>α' &gt; 1</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A344C9C" w14:textId="77777777" w:rsidR="00A04C29" w:rsidRDefault="004229BE">
            <w:pPr>
              <w:jc w:val="center"/>
              <w:rPr>
                <w:rFonts w:ascii="Cambria Math" w:eastAsia="Cambria Math" w:hAnsi="Cambria Math" w:cs="Cambria Math"/>
                <w:sz w:val="20"/>
                <w:szCs w:val="20"/>
              </w:rPr>
            </w:pPr>
            <m:oMathPara>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α</m:t>
                    </m:r>
                    <m:r>
                      <w:rPr>
                        <w:rFonts w:ascii="Cambria Math" w:eastAsia="Cambria Math" w:hAnsi="Cambria Math" w:cs="Cambria Math"/>
                        <w:sz w:val="20"/>
                        <w:szCs w:val="20"/>
                      </w:rPr>
                      <m:t>'</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max</m:t>
                        </m:r>
                      </m:sub>
                    </m:sSub>
                  </m:den>
                </m:f>
              </m:oMath>
            </m:oMathPara>
          </w:p>
          <w:p w14:paraId="236BEC2B" w14:textId="77777777" w:rsidR="00A04C29" w:rsidRDefault="00A04C29">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E4FEBE2" w14:textId="77777777" w:rsidR="00A04C29" w:rsidRDefault="004229BE">
            <w:pPr>
              <w:jc w:val="center"/>
              <w:rPr>
                <w:rFonts w:ascii="Cambria Math" w:eastAsia="Cambria Math" w:hAnsi="Cambria Math" w:cs="Cambria Math"/>
                <w:sz w:val="20"/>
                <w:szCs w:val="20"/>
              </w:rPr>
            </w:pPr>
            <m:oMathPara>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m:t>
                    </m:r>
                    <m:r>
                      <w:rPr>
                        <w:rFonts w:ascii="Cambria Math" w:eastAsia="Cambria Math" w:hAnsi="Cambria Math" w:cs="Cambria Math"/>
                        <w:sz w:val="20"/>
                        <w:szCs w:val="20"/>
                      </w:rPr>
                      <m:t>α</m:t>
                    </m:r>
                    <m:r>
                      <w:rPr>
                        <w:rFonts w:ascii="Cambria Math" w:eastAsia="Cambria Math" w:hAnsi="Cambria Math" w:cs="Cambria Math"/>
                        <w:sz w:val="20"/>
                        <w:szCs w:val="20"/>
                      </w:rPr>
                      <m:t>'</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M</m:t>
                        </m:r>
                      </m:sub>
                    </m:sSub>
                  </m:den>
                </m:f>
              </m:oMath>
            </m:oMathPara>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B193B21" w14:textId="77777777" w:rsidR="00A04C29" w:rsidRDefault="004229BE">
            <w:pPr>
              <w:jc w:val="center"/>
              <w:rPr>
                <w:rFonts w:ascii="Cambria Math" w:eastAsia="Cambria Math" w:hAnsi="Cambria Math" w:cs="Cambria Math"/>
                <w:sz w:val="20"/>
                <w:szCs w:val="20"/>
              </w:rPr>
            </w:pPr>
            <m:oMathPara>
              <m:oMath>
                <m:f>
                  <m:fPr>
                    <m:ctrlPr>
                      <w:rPr>
                        <w:rFonts w:ascii="Cambria Math" w:hAnsi="Cambria Math"/>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M</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max</m:t>
                        </m:r>
                      </m:sub>
                    </m:sSub>
                  </m:den>
                </m:f>
              </m:oMath>
            </m:oMathPara>
          </w:p>
        </w:tc>
      </w:tr>
      <w:tr w:rsidR="00A04C29" w14:paraId="3AB2EDEF" w14:textId="77777777">
        <w:tc>
          <w:tcPr>
            <w:tcW w:w="18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4260607"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b/>
                <w:sz w:val="20"/>
                <w:szCs w:val="20"/>
              </w:rPr>
              <w:t>noncompetitive (mixed)</w:t>
            </w:r>
          </w:p>
        </w:tc>
        <w:tc>
          <w:tcPr>
            <w:tcW w:w="25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1C21C2E"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Cambria" w:eastAsia="Cambria" w:hAnsi="Cambria" w:cs="Cambria"/>
                <w:sz w:val="20"/>
                <w:szCs w:val="20"/>
              </w:rPr>
            </w:pPr>
            <w:proofErr w:type="gramStart"/>
            <w:r>
              <w:rPr>
                <w:rFonts w:ascii="Cambria" w:eastAsia="Cambria" w:hAnsi="Cambria" w:cs="Cambria"/>
                <w:sz w:val="20"/>
                <w:szCs w:val="20"/>
              </w:rPr>
              <w:t>α  &gt;</w:t>
            </w:r>
            <w:proofErr w:type="gramEnd"/>
            <w:r>
              <w:rPr>
                <w:rFonts w:ascii="Cambria" w:eastAsia="Cambria" w:hAnsi="Cambria" w:cs="Cambria"/>
                <w:sz w:val="20"/>
                <w:szCs w:val="20"/>
              </w:rPr>
              <w:t xml:space="preserve"> 1</w:t>
            </w:r>
          </w:p>
          <w:p w14:paraId="0EBFB7D4"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r>
              <w:rPr>
                <w:rFonts w:ascii="Cambria" w:eastAsia="Cambria" w:hAnsi="Cambria" w:cs="Cambria"/>
                <w:sz w:val="20"/>
                <w:szCs w:val="20"/>
              </w:rPr>
              <w:t>α' &gt; 1</w:t>
            </w:r>
          </w:p>
        </w:tc>
        <w:tc>
          <w:tcPr>
            <w:tcW w:w="14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FBEC73" w14:textId="77777777" w:rsidR="00A04C29" w:rsidRDefault="004229BE">
            <w:pPr>
              <w:jc w:val="center"/>
              <w:rPr>
                <w:rFonts w:ascii="Cambria Math" w:eastAsia="Cambria Math" w:hAnsi="Cambria Math" w:cs="Cambria Math"/>
                <w:sz w:val="20"/>
                <w:szCs w:val="20"/>
              </w:rPr>
            </w:pPr>
            <m:oMathPara>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α</m:t>
                    </m:r>
                    <m:r>
                      <w:rPr>
                        <w:rFonts w:ascii="Cambria Math" w:eastAsia="Cambria Math" w:hAnsi="Cambria Math" w:cs="Cambria Math"/>
                        <w:sz w:val="20"/>
                        <w:szCs w:val="20"/>
                      </w:rPr>
                      <m:t>'</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max</m:t>
                        </m:r>
                      </m:sub>
                    </m:sSub>
                  </m:den>
                </m:f>
              </m:oMath>
            </m:oMathPara>
          </w:p>
        </w:tc>
        <w:tc>
          <w:tcPr>
            <w:tcW w:w="21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AAADD9B" w14:textId="77777777" w:rsidR="00A04C29" w:rsidRDefault="004229BE">
            <w:pPr>
              <w:jc w:val="center"/>
              <w:rPr>
                <w:rFonts w:ascii="Cambria Math" w:eastAsia="Cambria Math" w:hAnsi="Cambria Math" w:cs="Cambria Math"/>
                <w:sz w:val="20"/>
                <w:szCs w:val="20"/>
              </w:rPr>
            </w:pPr>
            <m:oMathPara>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m:t>
                    </m:r>
                    <m:r>
                      <w:rPr>
                        <w:rFonts w:ascii="Cambria Math" w:eastAsia="Cambria Math" w:hAnsi="Cambria Math" w:cs="Cambria Math"/>
                        <w:sz w:val="20"/>
                        <w:szCs w:val="20"/>
                      </w:rPr>
                      <m:t>α</m:t>
                    </m:r>
                    <m:r>
                      <w:rPr>
                        <w:rFonts w:ascii="Cambria Math" w:eastAsia="Cambria Math" w:hAnsi="Cambria Math" w:cs="Cambria Math"/>
                        <w:sz w:val="20"/>
                        <w:szCs w:val="20"/>
                      </w:rPr>
                      <m:t>'</m:t>
                    </m:r>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αK</m:t>
                        </m:r>
                      </m:e>
                      <m:sub>
                        <m:r>
                          <w:rPr>
                            <w:rFonts w:ascii="Cambria Math" w:eastAsia="Cambria Math" w:hAnsi="Cambria Math" w:cs="Cambria Math"/>
                            <w:sz w:val="20"/>
                            <w:szCs w:val="20"/>
                          </w:rPr>
                          <m:t>M</m:t>
                        </m:r>
                      </m:sub>
                    </m:sSub>
                  </m:den>
                </m:f>
              </m:oMath>
            </m:oMathPara>
          </w:p>
          <w:p w14:paraId="48045774" w14:textId="77777777" w:rsidR="00A04C29" w:rsidRDefault="00A04C29">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sz w:val="20"/>
                <w:szCs w:val="20"/>
              </w:rPr>
            </w:pPr>
          </w:p>
          <w:p w14:paraId="699BD64E"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jc w:val="center"/>
              <w:rPr>
                <w:rFonts w:ascii="Cambria" w:eastAsia="Cambria" w:hAnsi="Cambria" w:cs="Cambria"/>
                <w:sz w:val="20"/>
                <w:szCs w:val="20"/>
              </w:rPr>
            </w:pPr>
            <w:r>
              <w:rPr>
                <w:rFonts w:ascii="Cambria" w:eastAsia="Cambria" w:hAnsi="Cambria" w:cs="Cambria"/>
                <w:sz w:val="20"/>
                <w:szCs w:val="20"/>
              </w:rPr>
              <w:t xml:space="preserve">if α = α', the </w:t>
            </w:r>
            <w:r>
              <w:rPr>
                <w:rFonts w:ascii="Cambria" w:eastAsia="Cambria" w:hAnsi="Cambria" w:cs="Cambria"/>
                <w:i/>
                <w:sz w:val="20"/>
                <w:szCs w:val="20"/>
              </w:rPr>
              <w:t>x</w:t>
            </w:r>
            <w:r>
              <w:rPr>
                <w:rFonts w:ascii="Cambria" w:eastAsia="Cambria" w:hAnsi="Cambria" w:cs="Cambria"/>
                <w:sz w:val="20"/>
                <w:szCs w:val="20"/>
              </w:rPr>
              <w:t>-intercept is ‒1/</w:t>
            </w:r>
            <w:r>
              <w:rPr>
                <w:rFonts w:ascii="Cambria" w:eastAsia="Cambria" w:hAnsi="Cambria" w:cs="Cambria"/>
                <w:i/>
                <w:sz w:val="20"/>
                <w:szCs w:val="20"/>
              </w:rPr>
              <w:t>K</w:t>
            </w:r>
            <w:r>
              <w:rPr>
                <w:rFonts w:ascii="Cambria" w:eastAsia="Cambria" w:hAnsi="Cambria" w:cs="Cambria"/>
                <w:sz w:val="20"/>
                <w:szCs w:val="20"/>
                <w:vertAlign w:val="subscript"/>
              </w:rPr>
              <w:t>M</w:t>
            </w:r>
          </w:p>
        </w:tc>
        <w:tc>
          <w:tcPr>
            <w:tcW w:w="13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A794E06" w14:textId="77777777" w:rsidR="00A04C29" w:rsidRDefault="004229BE">
            <w:pPr>
              <w:jc w:val="center"/>
              <w:rPr>
                <w:rFonts w:ascii="Cambria Math" w:eastAsia="Cambria Math" w:hAnsi="Cambria Math" w:cs="Cambria Math"/>
                <w:sz w:val="20"/>
                <w:szCs w:val="20"/>
              </w:rPr>
            </w:pPr>
            <m:oMathPara>
              <m:oMath>
                <m:f>
                  <m:fPr>
                    <m:ctrlPr>
                      <w:rPr>
                        <w:rFonts w:ascii="Cambria Math" w:hAnsi="Cambria Math"/>
                      </w:rPr>
                    </m:ctrlPr>
                  </m:fPr>
                  <m:num>
                    <m:r>
                      <w:rPr>
                        <w:rFonts w:ascii="Cambria Math" w:hAnsi="Cambria Math"/>
                      </w:rPr>
                      <m:t>α</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M</m:t>
                        </m:r>
                      </m:sub>
                    </m:sSub>
                  </m:num>
                  <m:den>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V</m:t>
                        </m:r>
                      </m:e>
                      <m:sub>
                        <m:r>
                          <w:rPr>
                            <w:rFonts w:ascii="Cambria Math" w:eastAsia="Cambria Math" w:hAnsi="Cambria Math" w:cs="Cambria Math"/>
                            <w:sz w:val="20"/>
                            <w:szCs w:val="20"/>
                          </w:rPr>
                          <m:t>max</m:t>
                        </m:r>
                      </m:sub>
                    </m:sSub>
                  </m:den>
                </m:f>
              </m:oMath>
            </m:oMathPara>
          </w:p>
        </w:tc>
      </w:tr>
    </w:tbl>
    <w:p w14:paraId="7D5EB4AD"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r>
        <w:rPr>
          <w:b/>
          <w:sz w:val="18"/>
          <w:szCs w:val="18"/>
        </w:rPr>
        <w:t>Table 1:</w:t>
      </w:r>
      <w:r>
        <w:rPr>
          <w:sz w:val="18"/>
          <w:szCs w:val="18"/>
        </w:rPr>
        <w:t xml:space="preserve"> The variation in values of </w:t>
      </w:r>
      <w:r>
        <w:rPr>
          <w:rFonts w:ascii="Noto Sans Symbols" w:eastAsia="Noto Sans Symbols" w:hAnsi="Noto Sans Symbols" w:cs="Noto Sans Symbols"/>
          <w:sz w:val="18"/>
          <w:szCs w:val="18"/>
        </w:rPr>
        <w:t>α</w:t>
      </w:r>
      <w:r>
        <w:rPr>
          <w:sz w:val="18"/>
          <w:szCs w:val="18"/>
        </w:rPr>
        <w:t xml:space="preserve"> and </w:t>
      </w:r>
      <w:r>
        <w:rPr>
          <w:rFonts w:ascii="Noto Sans Symbols" w:eastAsia="Noto Sans Symbols" w:hAnsi="Noto Sans Symbols" w:cs="Noto Sans Symbols"/>
          <w:sz w:val="18"/>
          <w:szCs w:val="18"/>
        </w:rPr>
        <w:t>α</w:t>
      </w:r>
      <w:r>
        <w:rPr>
          <w:sz w:val="18"/>
          <w:szCs w:val="18"/>
        </w:rPr>
        <w:t>' for the three types of reversible inhibitors.</w:t>
      </w:r>
    </w:p>
    <w:p w14:paraId="35463C4C" w14:textId="77777777" w:rsidR="00A04C29" w:rsidRDefault="00A04C29">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p>
    <w:p w14:paraId="6283F55E"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r>
        <w:rPr>
          <w:b/>
        </w:rPr>
        <w:t>Note</w:t>
      </w:r>
      <w:r>
        <w:t xml:space="preserve">: The values for </w:t>
      </w:r>
      <w:r>
        <w:rPr>
          <w:i/>
        </w:rPr>
        <w:t>K</w:t>
      </w:r>
      <w:r>
        <w:rPr>
          <w:vertAlign w:val="subscript"/>
        </w:rPr>
        <w:t>M</w:t>
      </w:r>
      <w:r>
        <w:t xml:space="preserve"> and </w:t>
      </w:r>
      <w:r>
        <w:rPr>
          <w:i/>
        </w:rPr>
        <w:t>V</w:t>
      </w:r>
      <w:r>
        <w:rPr>
          <w:vertAlign w:val="subscript"/>
        </w:rPr>
        <w:t>max</w:t>
      </w:r>
      <w:r>
        <w:t xml:space="preserve"> referred to in the above tables are the values </w:t>
      </w:r>
      <w:r>
        <w:rPr>
          <w:i/>
        </w:rPr>
        <w:t>without</w:t>
      </w:r>
      <w:r>
        <w:t xml:space="preserve"> inhibitor. For example, if inspection of the graph reveals that the type of inhibition is competitive, you would determine the value of α by setting the value of the slope (</w:t>
      </w:r>
      <w:r>
        <w:rPr>
          <w:u w:val="single"/>
        </w:rPr>
        <w:t>with</w:t>
      </w:r>
      <w:r>
        <w:t xml:space="preserve"> inhibitor) equal to α</w:t>
      </w:r>
      <w:r>
        <w:rPr>
          <w:i/>
        </w:rPr>
        <w:t>K</w:t>
      </w:r>
      <w:r>
        <w:rPr>
          <w:vertAlign w:val="subscript"/>
        </w:rPr>
        <w:t>M</w:t>
      </w:r>
      <w:r>
        <w:t>/</w:t>
      </w:r>
      <w:r>
        <w:rPr>
          <w:i/>
        </w:rPr>
        <w:t>V</w:t>
      </w:r>
      <w:r>
        <w:rPr>
          <w:vertAlign w:val="subscript"/>
        </w:rPr>
        <w:t>max</w:t>
      </w:r>
      <w:r>
        <w:t xml:space="preserve"> (in which the </w:t>
      </w:r>
      <w:r>
        <w:rPr>
          <w:i/>
        </w:rPr>
        <w:t>K</w:t>
      </w:r>
      <w:r>
        <w:rPr>
          <w:vertAlign w:val="subscript"/>
        </w:rPr>
        <w:t>M</w:t>
      </w:r>
      <w:r>
        <w:t xml:space="preserve"> and </w:t>
      </w:r>
      <w:r>
        <w:rPr>
          <w:i/>
        </w:rPr>
        <w:t>V</w:t>
      </w:r>
      <w:r>
        <w:rPr>
          <w:vertAlign w:val="subscript"/>
        </w:rPr>
        <w:t>max</w:t>
      </w:r>
      <w:r>
        <w:t xml:space="preserve"> values are the values </w:t>
      </w:r>
      <w:r>
        <w:rPr>
          <w:u w:val="single"/>
        </w:rPr>
        <w:t>without</w:t>
      </w:r>
      <w:r>
        <w:t xml:space="preserve"> inhibitor).</w:t>
      </w:r>
    </w:p>
    <w:p w14:paraId="7B68F51B" w14:textId="77777777" w:rsidR="00A04C29" w:rsidRDefault="00A04C29">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p>
    <w:p w14:paraId="04900479" w14:textId="77777777" w:rsidR="00A04C29" w:rsidRDefault="004229BE">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r>
        <w:t xml:space="preserve">Once you have calculated the value of α, you can solve for </w:t>
      </w:r>
      <w:r>
        <w:rPr>
          <w:i/>
        </w:rPr>
        <w:t>K</w:t>
      </w:r>
      <w:r>
        <w:rPr>
          <w:vertAlign w:val="subscript"/>
        </w:rPr>
        <w:t>i</w:t>
      </w:r>
      <w:r>
        <w:t xml:space="preserve"> and </w:t>
      </w:r>
      <w:r>
        <w:rPr>
          <w:i/>
        </w:rPr>
        <w:t>K</w:t>
      </w:r>
      <w:r>
        <w:rPr>
          <w:vertAlign w:val="subscript"/>
        </w:rPr>
        <w:t>I</w:t>
      </w:r>
      <w:r>
        <w:t>’ using the following equations:</w:t>
      </w:r>
    </w:p>
    <w:p w14:paraId="24084C95" w14:textId="77777777" w:rsidR="00A04C29" w:rsidRDefault="004229B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α</m:t>
          </m:r>
          <m:r>
            <w:rPr>
              <w:rFonts w:ascii="Cambria Math" w:eastAsia="Cambria Math" w:hAnsi="Cambria Math" w:cs="Cambria Math"/>
              <w:sz w:val="24"/>
              <w:szCs w:val="24"/>
            </w:rPr>
            <m:t xml:space="preserve">=1+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t>
              </m:r>
              <m:r>
                <w:rPr>
                  <w:rFonts w:ascii="Cambria Math" w:eastAsia="Cambria Math" w:hAnsi="Cambria Math" w:cs="Cambria Math"/>
                  <w:sz w:val="24"/>
                  <w:szCs w:val="24"/>
                </w:rPr>
                <m:t>I</m:t>
              </m:r>
              <m:r>
                <w:rPr>
                  <w:rFonts w:ascii="Cambria Math" w:eastAsia="Cambria Math" w:hAnsi="Cambria Math" w:cs="Cambria Math"/>
                  <w:sz w:val="24"/>
                  <w:szCs w:val="24"/>
                </w:rPr>
                <m:t>]</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I</m:t>
                  </m:r>
                </m:sub>
              </m:sSub>
            </m:den>
          </m:f>
        </m:oMath>
      </m:oMathPara>
    </w:p>
    <w:p w14:paraId="6D6EB390" w14:textId="77777777" w:rsidR="00A04C29" w:rsidRDefault="00A04C29">
      <w:pPr>
        <w:widowControl w:val="0"/>
        <w:tabs>
          <w:tab w:val="left" w:pos="-1272"/>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 w:val="left" w:pos="9359"/>
        </w:tabs>
      </w:pPr>
    </w:p>
    <w:p w14:paraId="4AEB876F" w14:textId="77777777" w:rsidR="00A04C29" w:rsidRDefault="004229B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α</m:t>
          </m:r>
          <m:r>
            <w:rPr>
              <w:rFonts w:ascii="Cambria Math" w:eastAsia="Cambria Math" w:hAnsi="Cambria Math" w:cs="Cambria Math"/>
              <w:sz w:val="24"/>
              <w:szCs w:val="24"/>
            </w:rPr>
            <m:t xml:space="preserve">'=1+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t>
              </m:r>
              <m:r>
                <w:rPr>
                  <w:rFonts w:ascii="Cambria Math" w:eastAsia="Cambria Math" w:hAnsi="Cambria Math" w:cs="Cambria Math"/>
                  <w:sz w:val="24"/>
                  <w:szCs w:val="24"/>
                </w:rPr>
                <m:t>I</m:t>
              </m:r>
              <m:r>
                <w:rPr>
                  <w:rFonts w:ascii="Cambria Math" w:eastAsia="Cambria Math" w:hAnsi="Cambria Math" w:cs="Cambria Math"/>
                  <w:sz w:val="24"/>
                  <w:szCs w:val="24"/>
                </w:rPr>
                <m:t>]</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den>
          </m:f>
        </m:oMath>
      </m:oMathPara>
    </w:p>
    <w:p w14:paraId="48B78B5C" w14:textId="77777777" w:rsidR="00A04C29" w:rsidRDefault="00A04C29"/>
    <w:p w14:paraId="446A20B0" w14:textId="77777777" w:rsidR="00A04C29" w:rsidRDefault="004229BE">
      <w:pPr>
        <w:rPr>
          <w:b/>
        </w:rPr>
      </w:pPr>
      <w:r>
        <w:rPr>
          <w:b/>
        </w:rPr>
        <w:t>Acetylcholinesterase as a Therapeutic Target in Alzheimer’s Treatment</w:t>
      </w:r>
    </w:p>
    <w:p w14:paraId="3674D8BA" w14:textId="77777777" w:rsidR="00A04C29" w:rsidRDefault="004229BE">
      <w:r>
        <w:t xml:space="preserve">The neurotoxin sarin exhibits irreversible inhibition of </w:t>
      </w:r>
      <w:proofErr w:type="spellStart"/>
      <w:r>
        <w:t>AChE</w:t>
      </w:r>
      <w:proofErr w:type="spellEnd"/>
      <w:r>
        <w:t xml:space="preserve">, poisoning the enzyme by covalently bonding to the active site serine and shutting down catalysis. However, </w:t>
      </w:r>
      <w:r>
        <w:rPr>
          <w:i/>
        </w:rPr>
        <w:t xml:space="preserve">reversible </w:t>
      </w:r>
      <w:r>
        <w:t>inhib</w:t>
      </w:r>
      <w:r>
        <w:t xml:space="preserve">ition of </w:t>
      </w:r>
      <w:proofErr w:type="spellStart"/>
      <w:r>
        <w:t>AChE</w:t>
      </w:r>
      <w:proofErr w:type="spellEnd"/>
      <w:r>
        <w:t xml:space="preserve"> has potential therapeutic benefits in the treatment of Alzheimer’s disease. This video from 2-Minute Neuroscience provides a brief overview of acetylcholinesterase as a therapeutic target for Alzheimer’s treatment. </w:t>
      </w:r>
    </w:p>
    <w:p w14:paraId="3BAB3AC7" w14:textId="77777777" w:rsidR="00A04C29" w:rsidRDefault="004229BE">
      <w:hyperlink r:id="rId13">
        <w:r>
          <w:rPr>
            <w:color w:val="0000FF"/>
            <w:u w:val="single"/>
          </w:rPr>
          <w:t>https://www.youtube.com/watch?v=I6K10aif0tE</w:t>
        </w:r>
      </w:hyperlink>
      <w:r>
        <w:t xml:space="preserve"> </w:t>
      </w:r>
    </w:p>
    <w:p w14:paraId="32FAAAA7" w14:textId="77777777" w:rsidR="00A04C29" w:rsidRDefault="00A04C29"/>
    <w:p w14:paraId="557191A6" w14:textId="77777777" w:rsidR="00A04C29" w:rsidRDefault="004229BE">
      <w:r>
        <w:t>Alzheimer’s disease (AD) is a neurodegenerative disease that results in loss of cognitive function, which is characterized biochemically by the formation of amyloid beta pla</w:t>
      </w:r>
      <w:r>
        <w:t xml:space="preserve">ques and neurofibrillary tangles in the brain. </w:t>
      </w:r>
      <w:r>
        <w:rPr>
          <w:color w:val="000000"/>
        </w:rPr>
        <w:t xml:space="preserve">While there are many suspected causes of AD, is it certain that individuals with AD tend to have decreased levels of </w:t>
      </w:r>
      <w:proofErr w:type="spellStart"/>
      <w:r>
        <w:rPr>
          <w:color w:val="000000"/>
        </w:rPr>
        <w:t>ACh</w:t>
      </w:r>
      <w:proofErr w:type="spellEnd"/>
      <w:r>
        <w:rPr>
          <w:color w:val="000000"/>
        </w:rPr>
        <w:t xml:space="preserve">. Accordingly, several reversible inhibitors of </w:t>
      </w:r>
      <w:proofErr w:type="spellStart"/>
      <w:r>
        <w:rPr>
          <w:color w:val="000000"/>
        </w:rPr>
        <w:t>AChE</w:t>
      </w:r>
      <w:proofErr w:type="spellEnd"/>
      <w:r>
        <w:rPr>
          <w:color w:val="000000"/>
        </w:rPr>
        <w:t xml:space="preserve"> are FDA approved drugs (Figure 4</w:t>
      </w:r>
      <w:r>
        <w:t>). I</w:t>
      </w:r>
      <w:r>
        <w:t xml:space="preserve">nhibiting the enzyme slows </w:t>
      </w:r>
      <w:proofErr w:type="spellStart"/>
      <w:r>
        <w:t>ACh</w:t>
      </w:r>
      <w:proofErr w:type="spellEnd"/>
      <w:r>
        <w:t xml:space="preserve"> breakdown to acetate and choline, raising the level of acetylcholine in the synapse, and alleviating some symptoms associated with AD. In addition to being a useful treatment for AD, the drug galantamine has also been explore</w:t>
      </w:r>
      <w:r>
        <w:t xml:space="preserve">d as an antidote for sarin poisoning. </w:t>
      </w:r>
    </w:p>
    <w:p w14:paraId="00ED6400" w14:textId="77777777" w:rsidR="00A04C29" w:rsidRDefault="00A04C29">
      <w:pPr>
        <w:rPr>
          <w:color w:val="FF0000"/>
        </w:rPr>
      </w:pPr>
    </w:p>
    <w:p w14:paraId="2E220D8C" w14:textId="77777777" w:rsidR="00A04C29" w:rsidRDefault="004229BE">
      <w:pPr>
        <w:rPr>
          <w:color w:val="FF0000"/>
        </w:rPr>
      </w:pPr>
      <w:r>
        <w:rPr>
          <w:noProof/>
          <w:color w:val="FF0000"/>
        </w:rPr>
        <w:drawing>
          <wp:inline distT="0" distB="0" distL="0" distR="0" wp14:anchorId="0A8D1715" wp14:editId="61BB2E2F">
            <wp:extent cx="5558737" cy="1391133"/>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558737" cy="1391133"/>
                    </a:xfrm>
                    <a:prstGeom prst="rect">
                      <a:avLst/>
                    </a:prstGeom>
                    <a:ln/>
                  </pic:spPr>
                </pic:pic>
              </a:graphicData>
            </a:graphic>
          </wp:inline>
        </w:drawing>
      </w:r>
    </w:p>
    <w:p w14:paraId="6B6E7A84" w14:textId="77777777" w:rsidR="00A04C29" w:rsidRDefault="00A04C29"/>
    <w:p w14:paraId="085F0A50" w14:textId="77777777" w:rsidR="00A04C29" w:rsidRDefault="004229BE">
      <w:pPr>
        <w:rPr>
          <w:b/>
          <w:sz w:val="20"/>
          <w:szCs w:val="20"/>
        </w:rPr>
      </w:pPr>
      <w:r>
        <w:rPr>
          <w:b/>
          <w:sz w:val="20"/>
          <w:szCs w:val="20"/>
        </w:rPr>
        <w:t xml:space="preserve">Figure 4. </w:t>
      </w:r>
      <w:r>
        <w:rPr>
          <w:sz w:val="20"/>
          <w:szCs w:val="20"/>
        </w:rPr>
        <w:t xml:space="preserve">FDA-approved acetylcholinesterase inhibitors used in the treatment of Alzheimer’s disease. </w:t>
      </w:r>
    </w:p>
    <w:p w14:paraId="411B4D98" w14:textId="77777777" w:rsidR="00A04C29" w:rsidRDefault="00A04C29"/>
    <w:p w14:paraId="4F7C9257" w14:textId="77777777" w:rsidR="00A04C29" w:rsidRDefault="004229BE">
      <w:r>
        <w:t>Aricept</w:t>
      </w:r>
      <w:r>
        <w:rPr>
          <w:i/>
        </w:rPr>
        <w:t xml:space="preserve"> </w:t>
      </w:r>
      <w:r>
        <w:t>is another cholinesterase inhibitor approved for the treatment of AD. Figures 5–8 detail the binding o</w:t>
      </w:r>
      <w:r>
        <w:t xml:space="preserve">f Aricept. The binding site of </w:t>
      </w:r>
      <w:proofErr w:type="spellStart"/>
      <w:r>
        <w:t>AChE</w:t>
      </w:r>
      <w:proofErr w:type="spellEnd"/>
      <w:r>
        <w:t xml:space="preserve"> contains a catalytic site with a catalytic triad, and other binding regions including an anionic site, an oxyanion hole, and a peripheral anionic site. Aricept binding is driven by interactions with the anionic sites. </w:t>
      </w:r>
    </w:p>
    <w:p w14:paraId="7906F070" w14:textId="77777777" w:rsidR="00A04C29" w:rsidRDefault="00A04C29"/>
    <w:p w14:paraId="1A42FAEA" w14:textId="77777777" w:rsidR="00A04C29" w:rsidRDefault="004229BE">
      <w:r>
        <w:rPr>
          <w:noProof/>
        </w:rPr>
        <w:drawing>
          <wp:inline distT="114300" distB="114300" distL="114300" distR="114300" wp14:anchorId="64E7ABB2" wp14:editId="26B2B7B6">
            <wp:extent cx="5643146" cy="2974479"/>
            <wp:effectExtent l="0" t="0" r="0" b="0"/>
            <wp:docPr id="4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t="4948"/>
                    <a:stretch>
                      <a:fillRect/>
                    </a:stretch>
                  </pic:blipFill>
                  <pic:spPr>
                    <a:xfrm>
                      <a:off x="0" y="0"/>
                      <a:ext cx="5643146" cy="2974479"/>
                    </a:xfrm>
                    <a:prstGeom prst="rect">
                      <a:avLst/>
                    </a:prstGeom>
                    <a:ln/>
                  </pic:spPr>
                </pic:pic>
              </a:graphicData>
            </a:graphic>
          </wp:inline>
        </w:drawing>
      </w:r>
    </w:p>
    <w:p w14:paraId="16A0B129" w14:textId="77777777" w:rsidR="00A04C29" w:rsidRDefault="004229BE">
      <w:pPr>
        <w:rPr>
          <w:sz w:val="20"/>
          <w:szCs w:val="20"/>
        </w:rPr>
      </w:pPr>
      <w:r>
        <w:rPr>
          <w:b/>
          <w:sz w:val="20"/>
          <w:szCs w:val="20"/>
        </w:rPr>
        <w:t>Figure 5.</w:t>
      </w:r>
      <w:r>
        <w:rPr>
          <w:sz w:val="20"/>
          <w:szCs w:val="20"/>
        </w:rPr>
        <w:t xml:space="preserve"> </w:t>
      </w:r>
      <w:r>
        <w:rPr>
          <w:b/>
          <w:sz w:val="20"/>
          <w:szCs w:val="20"/>
        </w:rPr>
        <w:t>(A)</w:t>
      </w:r>
      <w:r>
        <w:rPr>
          <w:sz w:val="20"/>
          <w:szCs w:val="20"/>
        </w:rPr>
        <w:t xml:space="preserve"> Model of Aricept binding to </w:t>
      </w:r>
      <w:proofErr w:type="spellStart"/>
      <w:r>
        <w:rPr>
          <w:sz w:val="20"/>
          <w:szCs w:val="20"/>
        </w:rPr>
        <w:t>AChE</w:t>
      </w:r>
      <w:proofErr w:type="spellEnd"/>
      <w:r>
        <w:rPr>
          <w:sz w:val="20"/>
          <w:szCs w:val="20"/>
        </w:rPr>
        <w:t xml:space="preserve">. </w:t>
      </w:r>
      <w:r>
        <w:rPr>
          <w:b/>
          <w:sz w:val="20"/>
          <w:szCs w:val="20"/>
        </w:rPr>
        <w:t>(B)</w:t>
      </w:r>
      <w:r>
        <w:rPr>
          <w:sz w:val="20"/>
          <w:szCs w:val="20"/>
        </w:rPr>
        <w:t xml:space="preserve"> Zoomed in image of Aricept binding. (PDB ID: 1EVE)</w:t>
      </w:r>
    </w:p>
    <w:p w14:paraId="2DB936AE" w14:textId="77777777" w:rsidR="00A04C29" w:rsidRDefault="004229BE">
      <w:r>
        <w:rPr>
          <w:noProof/>
        </w:rPr>
        <w:lastRenderedPageBreak/>
        <w:drawing>
          <wp:inline distT="0" distB="0" distL="0" distR="0" wp14:anchorId="313E981C" wp14:editId="495E3F97">
            <wp:extent cx="5943600" cy="3993515"/>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3993515"/>
                    </a:xfrm>
                    <a:prstGeom prst="rect">
                      <a:avLst/>
                    </a:prstGeom>
                    <a:ln/>
                  </pic:spPr>
                </pic:pic>
              </a:graphicData>
            </a:graphic>
          </wp:inline>
        </w:drawing>
      </w:r>
    </w:p>
    <w:p w14:paraId="3573814F" w14:textId="77777777" w:rsidR="00A04C29" w:rsidRDefault="00A04C29">
      <w:pPr>
        <w:rPr>
          <w:b/>
          <w:sz w:val="20"/>
          <w:szCs w:val="20"/>
        </w:rPr>
      </w:pPr>
    </w:p>
    <w:p w14:paraId="2B349435" w14:textId="77777777" w:rsidR="00A04C29" w:rsidRDefault="004229BE">
      <w:pPr>
        <w:rPr>
          <w:sz w:val="20"/>
          <w:szCs w:val="20"/>
        </w:rPr>
      </w:pPr>
      <w:r>
        <w:rPr>
          <w:b/>
          <w:sz w:val="20"/>
          <w:szCs w:val="20"/>
        </w:rPr>
        <w:t>Figure 6.</w:t>
      </w:r>
      <w:r>
        <w:rPr>
          <w:sz w:val="20"/>
          <w:szCs w:val="20"/>
        </w:rPr>
        <w:t xml:space="preserve"> Aricept hydrogen bonding. Notice there are no direct hydrogen bonds between Aricept and the protein, instead, these are water-mediated hydrogen bonds. Water molecules are shown as red spheres, as hydrogens are typically not shown in </w:t>
      </w:r>
      <w:proofErr w:type="spellStart"/>
      <w:r>
        <w:rPr>
          <w:sz w:val="20"/>
          <w:szCs w:val="20"/>
        </w:rPr>
        <w:t>PyMOL</w:t>
      </w:r>
      <w:proofErr w:type="spellEnd"/>
      <w:r>
        <w:rPr>
          <w:sz w:val="20"/>
          <w:szCs w:val="20"/>
        </w:rPr>
        <w:t xml:space="preserve"> images. (PDB ID:</w:t>
      </w:r>
      <w:r>
        <w:rPr>
          <w:sz w:val="20"/>
          <w:szCs w:val="20"/>
        </w:rPr>
        <w:t xml:space="preserve"> 1EVE)</w:t>
      </w:r>
    </w:p>
    <w:p w14:paraId="1B268D4C" w14:textId="77777777" w:rsidR="00A04C29" w:rsidRDefault="004229BE">
      <w:r>
        <w:rPr>
          <w:noProof/>
        </w:rPr>
        <w:lastRenderedPageBreak/>
        <w:drawing>
          <wp:inline distT="0" distB="0" distL="0" distR="0" wp14:anchorId="3FBA6064" wp14:editId="6C10C2AE">
            <wp:extent cx="5943600" cy="3781425"/>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3781425"/>
                    </a:xfrm>
                    <a:prstGeom prst="rect">
                      <a:avLst/>
                    </a:prstGeom>
                    <a:ln/>
                  </pic:spPr>
                </pic:pic>
              </a:graphicData>
            </a:graphic>
          </wp:inline>
        </w:drawing>
      </w:r>
    </w:p>
    <w:p w14:paraId="3107607F" w14:textId="77777777" w:rsidR="00A04C29" w:rsidRDefault="004229BE">
      <w:pPr>
        <w:rPr>
          <w:sz w:val="20"/>
          <w:szCs w:val="20"/>
        </w:rPr>
      </w:pPr>
      <w:r>
        <w:rPr>
          <w:b/>
          <w:sz w:val="20"/>
          <w:szCs w:val="20"/>
        </w:rPr>
        <w:t>Figure 7.</w:t>
      </w:r>
      <w:r>
        <w:rPr>
          <w:sz w:val="20"/>
          <w:szCs w:val="20"/>
        </w:rPr>
        <w:t xml:space="preserve"> The binding interactions of Aricept largely involve interactions with aromatic amino acid residues. </w:t>
      </w:r>
      <w:r>
        <w:rPr>
          <w:b/>
          <w:sz w:val="20"/>
          <w:szCs w:val="20"/>
        </w:rPr>
        <w:t>(A)</w:t>
      </w:r>
      <w:r>
        <w:rPr>
          <w:sz w:val="20"/>
          <w:szCs w:val="20"/>
        </w:rPr>
        <w:t xml:space="preserve"> and </w:t>
      </w:r>
      <w:r>
        <w:rPr>
          <w:b/>
          <w:sz w:val="20"/>
          <w:szCs w:val="20"/>
        </w:rPr>
        <w:t>(B)</w:t>
      </w:r>
      <w:r>
        <w:rPr>
          <w:sz w:val="20"/>
          <w:szCs w:val="20"/>
        </w:rPr>
        <w:t xml:space="preserve"> illustrate π stacking interactions, while </w:t>
      </w:r>
      <w:r>
        <w:rPr>
          <w:b/>
          <w:sz w:val="20"/>
          <w:szCs w:val="20"/>
        </w:rPr>
        <w:t>(C)</w:t>
      </w:r>
      <w:r>
        <w:rPr>
          <w:sz w:val="20"/>
          <w:szCs w:val="20"/>
        </w:rPr>
        <w:t xml:space="preserve"> shows a cation-π interaction between a </w:t>
      </w:r>
      <w:proofErr w:type="spellStart"/>
      <w:r>
        <w:rPr>
          <w:sz w:val="20"/>
          <w:szCs w:val="20"/>
        </w:rPr>
        <w:t>Phe</w:t>
      </w:r>
      <w:proofErr w:type="spellEnd"/>
      <w:r>
        <w:rPr>
          <w:sz w:val="20"/>
          <w:szCs w:val="20"/>
        </w:rPr>
        <w:t xml:space="preserve"> residue and the amine group of Aricept, which is protonated at pH 7. (PDB ID: 1EVE)</w:t>
      </w:r>
    </w:p>
    <w:p w14:paraId="030DB159" w14:textId="77777777" w:rsidR="00A04C29" w:rsidRDefault="004229BE">
      <w:pPr>
        <w:jc w:val="center"/>
      </w:pPr>
      <w:r>
        <w:rPr>
          <w:noProof/>
        </w:rPr>
        <w:drawing>
          <wp:inline distT="114300" distB="114300" distL="114300" distR="114300" wp14:anchorId="5A096BB2" wp14:editId="36756774">
            <wp:extent cx="4780845" cy="320766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780845" cy="3207661"/>
                    </a:xfrm>
                    <a:prstGeom prst="rect">
                      <a:avLst/>
                    </a:prstGeom>
                    <a:ln/>
                  </pic:spPr>
                </pic:pic>
              </a:graphicData>
            </a:graphic>
          </wp:inline>
        </w:drawing>
      </w:r>
    </w:p>
    <w:p w14:paraId="3F594234" w14:textId="77777777" w:rsidR="00A04C29" w:rsidRDefault="00A04C29">
      <w:pPr>
        <w:rPr>
          <w:b/>
          <w:sz w:val="18"/>
          <w:szCs w:val="18"/>
        </w:rPr>
      </w:pPr>
    </w:p>
    <w:p w14:paraId="5E4D9870" w14:textId="77777777" w:rsidR="00A04C29" w:rsidRDefault="00A04C29">
      <w:pPr>
        <w:rPr>
          <w:b/>
          <w:sz w:val="18"/>
          <w:szCs w:val="18"/>
        </w:rPr>
      </w:pPr>
    </w:p>
    <w:p w14:paraId="61DDDF78" w14:textId="77777777" w:rsidR="00A04C29" w:rsidRDefault="004229BE">
      <w:pPr>
        <w:rPr>
          <w:sz w:val="18"/>
          <w:szCs w:val="18"/>
        </w:rPr>
      </w:pPr>
      <w:r>
        <w:rPr>
          <w:b/>
          <w:sz w:val="18"/>
          <w:szCs w:val="18"/>
        </w:rPr>
        <w:t>Figure 8.</w:t>
      </w:r>
      <w:r>
        <w:rPr>
          <w:sz w:val="18"/>
          <w:szCs w:val="18"/>
        </w:rPr>
        <w:t xml:space="preserve"> Aricept and distance measurements to the residues of the catalytic triad</w:t>
      </w:r>
    </w:p>
    <w:p w14:paraId="17D2F62F" w14:textId="77777777" w:rsidR="00A04C29" w:rsidRDefault="004229BE">
      <w:pPr>
        <w:rPr>
          <w:color w:val="0000FF"/>
        </w:rPr>
      </w:pPr>
      <w:r>
        <w:rPr>
          <w:color w:val="0000FF"/>
          <w:u w:val="single"/>
        </w:rPr>
        <w:lastRenderedPageBreak/>
        <w:t>Question 3</w:t>
      </w:r>
      <w:r>
        <w:rPr>
          <w:color w:val="0000FF"/>
        </w:rPr>
        <w:t>: Construct a hypothesis in whi</w:t>
      </w:r>
      <w:r>
        <w:rPr>
          <w:color w:val="0000FF"/>
        </w:rPr>
        <w:t xml:space="preserve">ch you describe the type of inhibition exhibited by Aricept on </w:t>
      </w:r>
      <w:proofErr w:type="spellStart"/>
      <w:r>
        <w:rPr>
          <w:color w:val="0000FF"/>
        </w:rPr>
        <w:t>AChE</w:t>
      </w:r>
      <w:proofErr w:type="spellEnd"/>
      <w:r>
        <w:rPr>
          <w:color w:val="0000FF"/>
        </w:rPr>
        <w:t>.</w:t>
      </w:r>
    </w:p>
    <w:p w14:paraId="133B18A8" w14:textId="77777777" w:rsidR="00A04C29" w:rsidRDefault="00A04C29"/>
    <w:p w14:paraId="5D2DA59E" w14:textId="77777777" w:rsidR="00A04C29" w:rsidRDefault="004229BE">
      <w:r>
        <w:t xml:space="preserve">One study compared the binding of three </w:t>
      </w:r>
      <w:proofErr w:type="gramStart"/>
      <w:r>
        <w:t>structurally-related</w:t>
      </w:r>
      <w:proofErr w:type="gramEnd"/>
      <w:r>
        <w:t xml:space="preserve"> inhibitors (Figure 9). In medicinal chemistry, several strategies are often employed in an attempt to study and improve affin</w:t>
      </w:r>
      <w:r>
        <w:t>ity. One of these is rigidification in which introducing double bonds and rings decreases the number of rotatable bonds, reducing the conformations a molecule can adopt. This strategy can sometimes increase affinity. Another common strategy in drug develop</w:t>
      </w:r>
      <w:r>
        <w:t xml:space="preserve">ment is structure simplification. By removing groups, medicinal chemists and biochemists can explore which interactions are critical, and which functional groups may not be needed in further drug design. </w:t>
      </w:r>
    </w:p>
    <w:p w14:paraId="3B378E44" w14:textId="77777777" w:rsidR="00A04C29" w:rsidRDefault="00A04C29"/>
    <w:p w14:paraId="5D59A7CF" w14:textId="77777777" w:rsidR="00A04C29" w:rsidRDefault="004229BE">
      <w:r>
        <w:rPr>
          <w:noProof/>
        </w:rPr>
        <w:drawing>
          <wp:inline distT="0" distB="0" distL="0" distR="0" wp14:anchorId="510E942C" wp14:editId="37573D51">
            <wp:extent cx="5943600" cy="144653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943600" cy="1446530"/>
                    </a:xfrm>
                    <a:prstGeom prst="rect">
                      <a:avLst/>
                    </a:prstGeom>
                    <a:ln/>
                  </pic:spPr>
                </pic:pic>
              </a:graphicData>
            </a:graphic>
          </wp:inline>
        </w:drawing>
      </w:r>
    </w:p>
    <w:p w14:paraId="5387999F" w14:textId="77777777" w:rsidR="00A04C29" w:rsidRDefault="00A04C29">
      <w:pPr>
        <w:rPr>
          <w:b/>
          <w:sz w:val="18"/>
          <w:szCs w:val="18"/>
        </w:rPr>
      </w:pPr>
    </w:p>
    <w:p w14:paraId="141D5868" w14:textId="77777777" w:rsidR="00A04C29" w:rsidRDefault="004229BE">
      <w:pPr>
        <w:rPr>
          <w:sz w:val="20"/>
          <w:szCs w:val="20"/>
        </w:rPr>
      </w:pPr>
      <w:r>
        <w:rPr>
          <w:b/>
          <w:sz w:val="20"/>
          <w:szCs w:val="20"/>
        </w:rPr>
        <w:t>Figure 9.</w:t>
      </w:r>
      <w:r>
        <w:rPr>
          <w:sz w:val="20"/>
          <w:szCs w:val="20"/>
        </w:rPr>
        <w:t xml:space="preserve"> Inhibitors compared in this study. </w:t>
      </w:r>
    </w:p>
    <w:p w14:paraId="44D559FC" w14:textId="77777777" w:rsidR="00A04C29" w:rsidRDefault="00A04C29"/>
    <w:p w14:paraId="47E9E7F9" w14:textId="77777777" w:rsidR="00A04C29" w:rsidRDefault="004229BE">
      <w:pPr>
        <w:rPr>
          <w:color w:val="0000FF"/>
        </w:rPr>
      </w:pPr>
      <w:r>
        <w:rPr>
          <w:color w:val="0000FF"/>
          <w:u w:val="single"/>
        </w:rPr>
        <w:t>Question 4</w:t>
      </w:r>
      <w:r>
        <w:rPr>
          <w:color w:val="0000FF"/>
        </w:rPr>
        <w:t xml:space="preserve">: Which compound do you think is an example of a simplification strategy? Explain your answer. Compare the rigidity of the three structures; in your explanation, state which compound has the </w:t>
      </w:r>
      <w:proofErr w:type="gramStart"/>
      <w:r>
        <w:rPr>
          <w:color w:val="0000FF"/>
        </w:rPr>
        <w:t>most free</w:t>
      </w:r>
      <w:proofErr w:type="gramEnd"/>
      <w:r>
        <w:rPr>
          <w:color w:val="0000FF"/>
        </w:rPr>
        <w:t xml:space="preserve"> rotation about bonds.  </w:t>
      </w:r>
    </w:p>
    <w:p w14:paraId="7375039C" w14:textId="77777777" w:rsidR="00A04C29" w:rsidRDefault="00A04C29"/>
    <w:p w14:paraId="6B1874CD" w14:textId="77777777" w:rsidR="00A04C29" w:rsidRDefault="004229BE">
      <w:pPr>
        <w:rPr>
          <w:color w:val="FF0000"/>
        </w:rPr>
      </w:pPr>
      <w:r>
        <w:t>Table 2 provides kin</w:t>
      </w:r>
      <w:r>
        <w:t xml:space="preserve">etic data for the three inhibitors. When comparing and testing the efficiency of drugs, a Lineweaver-Burk plot can be used to compare potential inhibitors directly. </w:t>
      </w:r>
    </w:p>
    <w:p w14:paraId="2445C380" w14:textId="77777777" w:rsidR="00A04C29" w:rsidRDefault="00A04C29">
      <w:pPr>
        <w:rPr>
          <w:color w:val="000000"/>
          <w:sz w:val="18"/>
          <w:szCs w:val="18"/>
        </w:rPr>
      </w:pPr>
    </w:p>
    <w:p w14:paraId="2369D60D" w14:textId="77777777" w:rsidR="00A04C29" w:rsidRDefault="004229BE">
      <w:r>
        <w:br w:type="page"/>
      </w:r>
    </w:p>
    <w:tbl>
      <w:tblPr>
        <w:tblStyle w:val="a9"/>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530"/>
        <w:gridCol w:w="2088"/>
        <w:gridCol w:w="2088"/>
        <w:gridCol w:w="2088"/>
      </w:tblGrid>
      <w:tr w:rsidR="00A04C29" w14:paraId="64C67496" w14:textId="77777777" w:rsidTr="00A04C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000000"/>
              <w:left w:val="single" w:sz="4" w:space="0" w:color="000000"/>
            </w:tcBorders>
            <w:vAlign w:val="center"/>
          </w:tcPr>
          <w:p w14:paraId="2E456E51" w14:textId="77777777" w:rsidR="00A04C29" w:rsidRDefault="004229BE">
            <w:pPr>
              <w:jc w:val="center"/>
              <w:rPr>
                <w:rFonts w:ascii="Calibri" w:eastAsia="Calibri" w:hAnsi="Calibri" w:cs="Calibri"/>
                <w:sz w:val="20"/>
                <w:szCs w:val="20"/>
              </w:rPr>
            </w:pPr>
            <w:r>
              <w:rPr>
                <w:rFonts w:ascii="Calibri" w:eastAsia="Calibri" w:hAnsi="Calibri" w:cs="Calibri"/>
                <w:sz w:val="20"/>
                <w:szCs w:val="20"/>
              </w:rPr>
              <w:lastRenderedPageBreak/>
              <w:t>[substrate], mM</w:t>
            </w:r>
          </w:p>
        </w:tc>
        <w:tc>
          <w:tcPr>
            <w:tcW w:w="1530" w:type="dxa"/>
            <w:tcBorders>
              <w:top w:val="single" w:sz="4" w:space="0" w:color="000000"/>
            </w:tcBorders>
            <w:vAlign w:val="center"/>
          </w:tcPr>
          <w:p w14:paraId="38A5D8BE" w14:textId="77777777" w:rsidR="00A04C29" w:rsidRDefault="004229B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i/>
                <w:sz w:val="20"/>
                <w:szCs w:val="20"/>
              </w:rPr>
              <w:t>v</w:t>
            </w:r>
            <w:r>
              <w:rPr>
                <w:rFonts w:ascii="Calibri" w:eastAsia="Calibri" w:hAnsi="Calibri" w:cs="Calibri"/>
                <w:sz w:val="20"/>
                <w:szCs w:val="20"/>
              </w:rPr>
              <w:t xml:space="preserve"> (no I), </w:t>
            </w:r>
            <w:proofErr w:type="spellStart"/>
            <w:r>
              <w:rPr>
                <w:rFonts w:ascii="Calibri" w:eastAsia="Calibri" w:hAnsi="Calibri" w:cs="Calibri"/>
                <w:sz w:val="20"/>
                <w:szCs w:val="20"/>
              </w:rPr>
              <w:t>nM</w:t>
            </w:r>
            <w:proofErr w:type="spellEnd"/>
            <w:r>
              <w:rPr>
                <w:rFonts w:ascii="Calibri" w:eastAsia="Calibri" w:hAnsi="Calibri" w:cs="Calibri"/>
                <w:sz w:val="20"/>
                <w:szCs w:val="20"/>
              </w:rPr>
              <w:t>/s</w:t>
            </w:r>
          </w:p>
        </w:tc>
        <w:tc>
          <w:tcPr>
            <w:tcW w:w="2088" w:type="dxa"/>
            <w:tcBorders>
              <w:top w:val="single" w:sz="4" w:space="0" w:color="000000"/>
            </w:tcBorders>
            <w:vAlign w:val="center"/>
          </w:tcPr>
          <w:p w14:paraId="4D78B728" w14:textId="77777777" w:rsidR="00A04C29" w:rsidRDefault="004229B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i/>
                <w:sz w:val="20"/>
                <w:szCs w:val="20"/>
              </w:rPr>
              <w:t>v</w:t>
            </w:r>
            <w:r>
              <w:rPr>
                <w:rFonts w:ascii="Calibri" w:eastAsia="Calibri" w:hAnsi="Calibri" w:cs="Calibri"/>
                <w:sz w:val="20"/>
                <w:szCs w:val="20"/>
              </w:rPr>
              <w:t xml:space="preserve"> (w/ Inhibitor 1), </w:t>
            </w:r>
            <w:proofErr w:type="spellStart"/>
            <w:r>
              <w:rPr>
                <w:rFonts w:ascii="Calibri" w:eastAsia="Calibri" w:hAnsi="Calibri" w:cs="Calibri"/>
                <w:sz w:val="20"/>
                <w:szCs w:val="20"/>
              </w:rPr>
              <w:t>nM</w:t>
            </w:r>
            <w:proofErr w:type="spellEnd"/>
            <w:r>
              <w:rPr>
                <w:rFonts w:ascii="Calibri" w:eastAsia="Calibri" w:hAnsi="Calibri" w:cs="Calibri"/>
                <w:sz w:val="20"/>
                <w:szCs w:val="20"/>
              </w:rPr>
              <w:t>/s</w:t>
            </w:r>
          </w:p>
        </w:tc>
        <w:tc>
          <w:tcPr>
            <w:tcW w:w="2088" w:type="dxa"/>
            <w:tcBorders>
              <w:top w:val="single" w:sz="4" w:space="0" w:color="000000"/>
            </w:tcBorders>
            <w:vAlign w:val="center"/>
          </w:tcPr>
          <w:p w14:paraId="2B1753F9" w14:textId="77777777" w:rsidR="00A04C29" w:rsidRDefault="004229B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v (w/ Inhibitor 2), </w:t>
            </w:r>
            <w:proofErr w:type="spellStart"/>
            <w:r>
              <w:rPr>
                <w:rFonts w:ascii="Calibri" w:eastAsia="Calibri" w:hAnsi="Calibri" w:cs="Calibri"/>
                <w:sz w:val="20"/>
                <w:szCs w:val="20"/>
              </w:rPr>
              <w:t>nM</w:t>
            </w:r>
            <w:proofErr w:type="spellEnd"/>
            <w:r>
              <w:rPr>
                <w:rFonts w:ascii="Calibri" w:eastAsia="Calibri" w:hAnsi="Calibri" w:cs="Calibri"/>
                <w:sz w:val="20"/>
                <w:szCs w:val="20"/>
              </w:rPr>
              <w:t>/s</w:t>
            </w:r>
          </w:p>
        </w:tc>
        <w:tc>
          <w:tcPr>
            <w:tcW w:w="2088" w:type="dxa"/>
            <w:tcBorders>
              <w:top w:val="single" w:sz="4" w:space="0" w:color="000000"/>
              <w:right w:val="single" w:sz="4" w:space="0" w:color="000000"/>
            </w:tcBorders>
            <w:vAlign w:val="center"/>
          </w:tcPr>
          <w:p w14:paraId="38FD3426" w14:textId="77777777" w:rsidR="00A04C29" w:rsidRDefault="004229B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v (w/ Inhibitor 3), </w:t>
            </w:r>
            <w:proofErr w:type="spellStart"/>
            <w:r>
              <w:rPr>
                <w:rFonts w:ascii="Calibri" w:eastAsia="Calibri" w:hAnsi="Calibri" w:cs="Calibri"/>
                <w:sz w:val="20"/>
                <w:szCs w:val="20"/>
              </w:rPr>
              <w:t>nM</w:t>
            </w:r>
            <w:proofErr w:type="spellEnd"/>
            <w:r>
              <w:rPr>
                <w:rFonts w:ascii="Calibri" w:eastAsia="Calibri" w:hAnsi="Calibri" w:cs="Calibri"/>
                <w:sz w:val="20"/>
                <w:szCs w:val="20"/>
              </w:rPr>
              <w:t>/s</w:t>
            </w:r>
          </w:p>
        </w:tc>
      </w:tr>
      <w:tr w:rsidR="00A04C29" w14:paraId="75FF696C" w14:textId="77777777" w:rsidTr="00A04C29">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tcBorders>
            <w:vAlign w:val="center"/>
          </w:tcPr>
          <w:p w14:paraId="2C739614" w14:textId="77777777" w:rsidR="00A04C29" w:rsidRDefault="004229BE">
            <w:pPr>
              <w:jc w:val="center"/>
              <w:rPr>
                <w:rFonts w:ascii="Calibri" w:eastAsia="Calibri" w:hAnsi="Calibri" w:cs="Calibri"/>
                <w:sz w:val="20"/>
                <w:szCs w:val="20"/>
              </w:rPr>
            </w:pPr>
            <w:r>
              <w:rPr>
                <w:rFonts w:ascii="Calibri" w:eastAsia="Calibri" w:hAnsi="Calibri" w:cs="Calibri"/>
                <w:b w:val="0"/>
                <w:sz w:val="20"/>
                <w:szCs w:val="20"/>
              </w:rPr>
              <w:t>0.010</w:t>
            </w:r>
          </w:p>
        </w:tc>
        <w:tc>
          <w:tcPr>
            <w:tcW w:w="1530" w:type="dxa"/>
            <w:vAlign w:val="center"/>
          </w:tcPr>
          <w:p w14:paraId="69515335"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28.25</w:t>
            </w:r>
          </w:p>
        </w:tc>
        <w:tc>
          <w:tcPr>
            <w:tcW w:w="2088" w:type="dxa"/>
            <w:vAlign w:val="center"/>
          </w:tcPr>
          <w:p w14:paraId="6FF1FF34"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11.85</w:t>
            </w:r>
          </w:p>
        </w:tc>
        <w:tc>
          <w:tcPr>
            <w:tcW w:w="2088" w:type="dxa"/>
            <w:vAlign w:val="center"/>
          </w:tcPr>
          <w:p w14:paraId="31D85DC2"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18.88</w:t>
            </w:r>
          </w:p>
        </w:tc>
        <w:tc>
          <w:tcPr>
            <w:tcW w:w="2088" w:type="dxa"/>
            <w:tcBorders>
              <w:right w:val="single" w:sz="4" w:space="0" w:color="000000"/>
            </w:tcBorders>
            <w:vAlign w:val="center"/>
          </w:tcPr>
          <w:p w14:paraId="5491BCA8"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6.34</w:t>
            </w:r>
          </w:p>
        </w:tc>
      </w:tr>
      <w:tr w:rsidR="00A04C29" w14:paraId="24F915E3" w14:textId="77777777" w:rsidTr="00A04C29">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tcBorders>
            <w:vAlign w:val="center"/>
          </w:tcPr>
          <w:p w14:paraId="627C3FC1" w14:textId="77777777" w:rsidR="00A04C29" w:rsidRDefault="004229BE">
            <w:pPr>
              <w:jc w:val="center"/>
              <w:rPr>
                <w:rFonts w:ascii="Calibri" w:eastAsia="Calibri" w:hAnsi="Calibri" w:cs="Calibri"/>
                <w:sz w:val="20"/>
                <w:szCs w:val="20"/>
              </w:rPr>
            </w:pPr>
            <w:r>
              <w:rPr>
                <w:rFonts w:ascii="Calibri" w:eastAsia="Calibri" w:hAnsi="Calibri" w:cs="Calibri"/>
                <w:b w:val="0"/>
                <w:sz w:val="20"/>
                <w:szCs w:val="20"/>
              </w:rPr>
              <w:t>0.020</w:t>
            </w:r>
          </w:p>
        </w:tc>
        <w:tc>
          <w:tcPr>
            <w:tcW w:w="1530" w:type="dxa"/>
            <w:vAlign w:val="center"/>
          </w:tcPr>
          <w:p w14:paraId="53A6C221"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45.74</w:t>
            </w:r>
          </w:p>
        </w:tc>
        <w:tc>
          <w:tcPr>
            <w:tcW w:w="2088" w:type="dxa"/>
            <w:vAlign w:val="center"/>
          </w:tcPr>
          <w:p w14:paraId="3F723EDC"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20.38</w:t>
            </w:r>
          </w:p>
        </w:tc>
        <w:tc>
          <w:tcPr>
            <w:tcW w:w="2088" w:type="dxa"/>
            <w:vAlign w:val="center"/>
          </w:tcPr>
          <w:p w14:paraId="1CE253B8"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31.84</w:t>
            </w:r>
          </w:p>
        </w:tc>
        <w:tc>
          <w:tcPr>
            <w:tcW w:w="2088" w:type="dxa"/>
            <w:tcBorders>
              <w:right w:val="single" w:sz="4" w:space="0" w:color="000000"/>
            </w:tcBorders>
            <w:vAlign w:val="center"/>
          </w:tcPr>
          <w:p w14:paraId="31B26C7F"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11.21</w:t>
            </w:r>
          </w:p>
        </w:tc>
      </w:tr>
      <w:tr w:rsidR="00A04C29" w14:paraId="462F10E5" w14:textId="77777777" w:rsidTr="00A04C29">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tcBorders>
            <w:vAlign w:val="center"/>
          </w:tcPr>
          <w:p w14:paraId="02C95F77" w14:textId="77777777" w:rsidR="00A04C29" w:rsidRDefault="004229BE">
            <w:pPr>
              <w:jc w:val="center"/>
              <w:rPr>
                <w:rFonts w:ascii="Calibri" w:eastAsia="Calibri" w:hAnsi="Calibri" w:cs="Calibri"/>
                <w:sz w:val="20"/>
                <w:szCs w:val="20"/>
              </w:rPr>
            </w:pPr>
            <w:r>
              <w:rPr>
                <w:rFonts w:ascii="Calibri" w:eastAsia="Calibri" w:hAnsi="Calibri" w:cs="Calibri"/>
                <w:b w:val="0"/>
                <w:sz w:val="20"/>
                <w:szCs w:val="20"/>
              </w:rPr>
              <w:t>0.050</w:t>
            </w:r>
          </w:p>
        </w:tc>
        <w:tc>
          <w:tcPr>
            <w:tcW w:w="1530" w:type="dxa"/>
            <w:vAlign w:val="center"/>
          </w:tcPr>
          <w:p w14:paraId="025FFBFA"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68.75</w:t>
            </w:r>
          </w:p>
        </w:tc>
        <w:tc>
          <w:tcPr>
            <w:tcW w:w="2088" w:type="dxa"/>
            <w:vAlign w:val="center"/>
          </w:tcPr>
          <w:p w14:paraId="37524B96"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36.28</w:t>
            </w:r>
          </w:p>
        </w:tc>
        <w:tc>
          <w:tcPr>
            <w:tcW w:w="2088" w:type="dxa"/>
            <w:vAlign w:val="center"/>
          </w:tcPr>
          <w:p w14:paraId="6B2A98F2"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52.58</w:t>
            </w:r>
          </w:p>
        </w:tc>
        <w:tc>
          <w:tcPr>
            <w:tcW w:w="2088" w:type="dxa"/>
            <w:tcBorders>
              <w:right w:val="single" w:sz="4" w:space="0" w:color="000000"/>
            </w:tcBorders>
            <w:vAlign w:val="center"/>
          </w:tcPr>
          <w:p w14:paraId="5C3A5DD8"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18.73</w:t>
            </w:r>
          </w:p>
        </w:tc>
      </w:tr>
      <w:tr w:rsidR="00A04C29" w14:paraId="5A61793C" w14:textId="77777777" w:rsidTr="00A04C29">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tcBorders>
            <w:vAlign w:val="center"/>
          </w:tcPr>
          <w:p w14:paraId="16A7EA79" w14:textId="77777777" w:rsidR="00A04C29" w:rsidRDefault="004229BE">
            <w:pPr>
              <w:jc w:val="center"/>
              <w:rPr>
                <w:rFonts w:ascii="Calibri" w:eastAsia="Calibri" w:hAnsi="Calibri" w:cs="Calibri"/>
                <w:sz w:val="20"/>
                <w:szCs w:val="20"/>
              </w:rPr>
            </w:pPr>
            <w:r>
              <w:rPr>
                <w:rFonts w:ascii="Calibri" w:eastAsia="Calibri" w:hAnsi="Calibri" w:cs="Calibri"/>
                <w:b w:val="0"/>
                <w:sz w:val="20"/>
                <w:szCs w:val="20"/>
              </w:rPr>
              <w:t>0.100</w:t>
            </w:r>
          </w:p>
        </w:tc>
        <w:tc>
          <w:tcPr>
            <w:tcW w:w="1530" w:type="dxa"/>
            <w:vAlign w:val="center"/>
          </w:tcPr>
          <w:p w14:paraId="42DAF029"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90.33</w:t>
            </w:r>
          </w:p>
        </w:tc>
        <w:tc>
          <w:tcPr>
            <w:tcW w:w="2088" w:type="dxa"/>
            <w:vAlign w:val="center"/>
          </w:tcPr>
          <w:p w14:paraId="643C2451"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46.53</w:t>
            </w:r>
          </w:p>
        </w:tc>
        <w:tc>
          <w:tcPr>
            <w:tcW w:w="2088" w:type="dxa"/>
            <w:vAlign w:val="center"/>
          </w:tcPr>
          <w:p w14:paraId="724A25F1"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70.43</w:t>
            </w:r>
          </w:p>
        </w:tc>
        <w:tc>
          <w:tcPr>
            <w:tcW w:w="2088" w:type="dxa"/>
            <w:tcBorders>
              <w:right w:val="single" w:sz="4" w:space="0" w:color="000000"/>
            </w:tcBorders>
            <w:vAlign w:val="center"/>
          </w:tcPr>
          <w:p w14:paraId="219E8BAF"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24.92</w:t>
            </w:r>
          </w:p>
        </w:tc>
      </w:tr>
      <w:tr w:rsidR="00A04C29" w14:paraId="442640D9" w14:textId="77777777" w:rsidTr="00A04C29">
        <w:trPr>
          <w:trHeight w:val="30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000000"/>
              <w:bottom w:val="single" w:sz="4" w:space="0" w:color="000000"/>
            </w:tcBorders>
            <w:vAlign w:val="center"/>
          </w:tcPr>
          <w:p w14:paraId="6874E9A2" w14:textId="77777777" w:rsidR="00A04C29" w:rsidRDefault="004229BE">
            <w:pPr>
              <w:jc w:val="center"/>
              <w:rPr>
                <w:rFonts w:ascii="Calibri" w:eastAsia="Calibri" w:hAnsi="Calibri" w:cs="Calibri"/>
                <w:sz w:val="20"/>
                <w:szCs w:val="20"/>
              </w:rPr>
            </w:pPr>
            <w:r>
              <w:rPr>
                <w:rFonts w:ascii="Calibri" w:eastAsia="Calibri" w:hAnsi="Calibri" w:cs="Calibri"/>
                <w:b w:val="0"/>
                <w:sz w:val="20"/>
                <w:szCs w:val="20"/>
              </w:rPr>
              <w:t>0.200</w:t>
            </w:r>
          </w:p>
        </w:tc>
        <w:tc>
          <w:tcPr>
            <w:tcW w:w="1530" w:type="dxa"/>
            <w:tcBorders>
              <w:bottom w:val="single" w:sz="4" w:space="0" w:color="000000"/>
            </w:tcBorders>
            <w:vAlign w:val="center"/>
          </w:tcPr>
          <w:p w14:paraId="6833C8D6"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112.20</w:t>
            </w:r>
          </w:p>
        </w:tc>
        <w:tc>
          <w:tcPr>
            <w:tcW w:w="2088" w:type="dxa"/>
            <w:tcBorders>
              <w:bottom w:val="single" w:sz="4" w:space="0" w:color="000000"/>
            </w:tcBorders>
            <w:vAlign w:val="center"/>
          </w:tcPr>
          <w:p w14:paraId="25ACA38B"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59.13</w:t>
            </w:r>
          </w:p>
        </w:tc>
        <w:tc>
          <w:tcPr>
            <w:tcW w:w="2088" w:type="dxa"/>
            <w:tcBorders>
              <w:bottom w:val="single" w:sz="4" w:space="0" w:color="000000"/>
            </w:tcBorders>
            <w:vAlign w:val="center"/>
          </w:tcPr>
          <w:p w14:paraId="6B0AD141"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81.15</w:t>
            </w:r>
          </w:p>
        </w:tc>
        <w:tc>
          <w:tcPr>
            <w:tcW w:w="2088" w:type="dxa"/>
            <w:tcBorders>
              <w:bottom w:val="single" w:sz="4" w:space="0" w:color="000000"/>
              <w:right w:val="single" w:sz="4" w:space="0" w:color="000000"/>
            </w:tcBorders>
            <w:vAlign w:val="center"/>
          </w:tcPr>
          <w:p w14:paraId="190A8893"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29.92</w:t>
            </w:r>
          </w:p>
        </w:tc>
      </w:tr>
    </w:tbl>
    <w:p w14:paraId="0A92AFAF" w14:textId="77777777" w:rsidR="00A04C29" w:rsidRDefault="004229BE">
      <w:r>
        <w:rPr>
          <w:b/>
          <w:color w:val="000000"/>
          <w:sz w:val="18"/>
          <w:szCs w:val="18"/>
        </w:rPr>
        <w:t>Table 2</w:t>
      </w:r>
      <w:r>
        <w:rPr>
          <w:color w:val="000000"/>
          <w:sz w:val="18"/>
          <w:szCs w:val="18"/>
        </w:rPr>
        <w:t xml:space="preserve">. Kinetic data obtained in the absence and in the presence of three potential </w:t>
      </w:r>
      <w:proofErr w:type="spellStart"/>
      <w:r>
        <w:rPr>
          <w:color w:val="000000"/>
          <w:sz w:val="18"/>
          <w:szCs w:val="18"/>
        </w:rPr>
        <w:t>AChE</w:t>
      </w:r>
      <w:proofErr w:type="spellEnd"/>
      <w:r>
        <w:rPr>
          <w:color w:val="000000"/>
          <w:sz w:val="18"/>
          <w:szCs w:val="18"/>
        </w:rPr>
        <w:t xml:space="preserve"> inhibitors labeled Inhibitor 1, Inhibitor 2, and Inhibitor 3.</w:t>
      </w:r>
    </w:p>
    <w:p w14:paraId="386A80CD" w14:textId="77777777" w:rsidR="00A04C29" w:rsidRDefault="00A04C29"/>
    <w:p w14:paraId="68DC0319" w14:textId="77777777" w:rsidR="00A04C29" w:rsidRDefault="004229BE">
      <w:pPr>
        <w:rPr>
          <w:color w:val="0000FF"/>
        </w:rPr>
      </w:pPr>
      <w:r>
        <w:rPr>
          <w:color w:val="0000FF"/>
          <w:u w:val="single"/>
        </w:rPr>
        <w:t>Question 5</w:t>
      </w:r>
      <w:r>
        <w:rPr>
          <w:color w:val="0000FF"/>
        </w:rPr>
        <w:t>: Using the data from Table 2, construct a single Lineweaver-Burk plot in which you plot 1/</w:t>
      </w:r>
      <w:r>
        <w:rPr>
          <w:i/>
          <w:color w:val="0000FF"/>
        </w:rPr>
        <w:t>v</w:t>
      </w:r>
      <w:r>
        <w:rPr>
          <w:color w:val="0000FF"/>
        </w:rPr>
        <w:t xml:space="preserve"> versus 1/[S] for each of the four experiments. Use the information presented in Figure 6 to classify the type of inhibition for each inhibitor. For each inhibitor,</w:t>
      </w:r>
      <w:r>
        <w:rPr>
          <w:color w:val="0000FF"/>
        </w:rPr>
        <w:t xml:space="preserve"> describe how/where the inhibitor binds to the enzyme, e.g., competitive inhibitors bind to the active site.</w:t>
      </w:r>
    </w:p>
    <w:p w14:paraId="5B6FD2FC" w14:textId="77777777" w:rsidR="00A04C29" w:rsidRDefault="00A04C29">
      <w:pPr>
        <w:rPr>
          <w:color w:val="0000FF"/>
        </w:rPr>
      </w:pPr>
    </w:p>
    <w:p w14:paraId="6BFE05E1" w14:textId="77777777" w:rsidR="00A04C29" w:rsidRDefault="004229BE">
      <w:pPr>
        <w:rPr>
          <w:color w:val="0000FF"/>
        </w:rPr>
      </w:pPr>
      <w:r>
        <w:rPr>
          <w:color w:val="0000FF"/>
          <w:u w:val="single"/>
        </w:rPr>
        <w:t>Question 6</w:t>
      </w:r>
      <w:r>
        <w:rPr>
          <w:color w:val="0000FF"/>
        </w:rPr>
        <w:t xml:space="preserve">: Calculate the </w:t>
      </w:r>
      <w:r>
        <w:rPr>
          <w:i/>
          <w:color w:val="0000FF"/>
        </w:rPr>
        <w:t>V</w:t>
      </w:r>
      <w:r>
        <w:rPr>
          <w:color w:val="0000FF"/>
          <w:vertAlign w:val="subscript"/>
        </w:rPr>
        <w:t>max</w:t>
      </w:r>
      <w:r>
        <w:rPr>
          <w:color w:val="0000FF"/>
        </w:rPr>
        <w:t xml:space="preserve"> and the </w:t>
      </w:r>
      <w:r>
        <w:rPr>
          <w:i/>
          <w:color w:val="0000FF"/>
        </w:rPr>
        <w:t>K</w:t>
      </w:r>
      <w:r>
        <w:rPr>
          <w:color w:val="0000FF"/>
          <w:vertAlign w:val="subscript"/>
        </w:rPr>
        <w:t>M</w:t>
      </w:r>
      <w:r>
        <w:rPr>
          <w:color w:val="0000FF"/>
        </w:rPr>
        <w:t xml:space="preserve"> for each of the four experiments, using the slopes and the </w:t>
      </w:r>
      <w:r>
        <w:rPr>
          <w:i/>
          <w:color w:val="0000FF"/>
        </w:rPr>
        <w:t>y</w:t>
      </w:r>
      <w:r>
        <w:rPr>
          <w:color w:val="0000FF"/>
        </w:rPr>
        <w:t>-intercepts obtained from the plot you const</w:t>
      </w:r>
      <w:r>
        <w:rPr>
          <w:color w:val="0000FF"/>
        </w:rPr>
        <w:t>ructed in Question 5. Organize your results in a table.</w:t>
      </w:r>
    </w:p>
    <w:p w14:paraId="0B347E01" w14:textId="77777777" w:rsidR="00A04C29" w:rsidRDefault="00A04C29">
      <w:pPr>
        <w:rPr>
          <w:b/>
          <w:color w:val="0432FF"/>
        </w:rPr>
      </w:pPr>
    </w:p>
    <w:p w14:paraId="77D2AA2D" w14:textId="77777777" w:rsidR="00A04C29" w:rsidRDefault="004229BE">
      <w:pPr>
        <w:rPr>
          <w:color w:val="0000FF"/>
        </w:rPr>
      </w:pPr>
      <w:bookmarkStart w:id="2" w:name="_heading=h.jxvutpdr4k01" w:colFirst="0" w:colLast="0"/>
      <w:bookmarkEnd w:id="2"/>
      <w:r>
        <w:rPr>
          <w:color w:val="0000FF"/>
          <w:u w:val="single"/>
        </w:rPr>
        <w:t>Question 7</w:t>
      </w:r>
      <w:r>
        <w:rPr>
          <w:color w:val="0000FF"/>
        </w:rPr>
        <w:t xml:space="preserve">: Calculate the </w:t>
      </w:r>
      <w:r>
        <w:rPr>
          <w:i/>
          <w:color w:val="0000FF"/>
        </w:rPr>
        <w:t>K</w:t>
      </w:r>
      <w:r>
        <w:rPr>
          <w:color w:val="0000FF"/>
          <w:vertAlign w:val="subscript"/>
        </w:rPr>
        <w:t>I</w:t>
      </w:r>
      <w:r>
        <w:rPr>
          <w:color w:val="0000FF"/>
        </w:rPr>
        <w:t xml:space="preserve"> and </w:t>
      </w:r>
      <w:r>
        <w:rPr>
          <w:i/>
          <w:color w:val="0000FF"/>
        </w:rPr>
        <w:t>K</w:t>
      </w:r>
      <w:r>
        <w:rPr>
          <w:color w:val="0000FF"/>
          <w:vertAlign w:val="subscript"/>
        </w:rPr>
        <w:t>I</w:t>
      </w:r>
      <w:r>
        <w:rPr>
          <w:color w:val="0000FF"/>
        </w:rPr>
        <w:t>’ values (as appropriate) for each of the inhibitors, given the information in Table 3.</w:t>
      </w:r>
    </w:p>
    <w:p w14:paraId="67D77AEE" w14:textId="77777777" w:rsidR="00A04C29" w:rsidRDefault="00A04C29">
      <w:pPr>
        <w:rPr>
          <w:color w:val="0000FF"/>
        </w:rPr>
      </w:pPr>
    </w:p>
    <w:tbl>
      <w:tblPr>
        <w:tblStyle w:val="aa"/>
        <w:tblW w:w="7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7"/>
        <w:gridCol w:w="1618"/>
        <w:gridCol w:w="1710"/>
        <w:gridCol w:w="1620"/>
      </w:tblGrid>
      <w:tr w:rsidR="00A04C29" w14:paraId="3925E98F" w14:textId="77777777" w:rsidTr="00A04C2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000000"/>
              <w:left w:val="single" w:sz="4" w:space="0" w:color="000000"/>
            </w:tcBorders>
            <w:vAlign w:val="center"/>
          </w:tcPr>
          <w:p w14:paraId="5093DC98" w14:textId="77777777" w:rsidR="00A04C29" w:rsidRDefault="00A04C29">
            <w:pPr>
              <w:jc w:val="center"/>
              <w:rPr>
                <w:rFonts w:ascii="Calibri" w:eastAsia="Calibri" w:hAnsi="Calibri" w:cs="Calibri"/>
                <w:sz w:val="20"/>
                <w:szCs w:val="20"/>
              </w:rPr>
            </w:pPr>
          </w:p>
        </w:tc>
        <w:tc>
          <w:tcPr>
            <w:tcW w:w="1618" w:type="dxa"/>
            <w:tcBorders>
              <w:top w:val="single" w:sz="4" w:space="0" w:color="000000"/>
            </w:tcBorders>
            <w:vAlign w:val="center"/>
          </w:tcPr>
          <w:p w14:paraId="53828EC8" w14:textId="77777777" w:rsidR="00A04C29" w:rsidRDefault="004229B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Inhibitor 1</w:t>
            </w:r>
          </w:p>
        </w:tc>
        <w:tc>
          <w:tcPr>
            <w:tcW w:w="1710" w:type="dxa"/>
            <w:tcBorders>
              <w:top w:val="single" w:sz="4" w:space="0" w:color="000000"/>
            </w:tcBorders>
            <w:vAlign w:val="center"/>
          </w:tcPr>
          <w:p w14:paraId="52AC6725" w14:textId="77777777" w:rsidR="00A04C29" w:rsidRDefault="004229B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Inhibitor 2</w:t>
            </w:r>
          </w:p>
        </w:tc>
        <w:tc>
          <w:tcPr>
            <w:tcW w:w="1620" w:type="dxa"/>
            <w:tcBorders>
              <w:top w:val="single" w:sz="4" w:space="0" w:color="000000"/>
              <w:right w:val="single" w:sz="4" w:space="0" w:color="000000"/>
            </w:tcBorders>
            <w:vAlign w:val="center"/>
          </w:tcPr>
          <w:p w14:paraId="3AFDE423" w14:textId="77777777" w:rsidR="00A04C29" w:rsidRDefault="004229B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Inhibitor 3</w:t>
            </w:r>
          </w:p>
        </w:tc>
      </w:tr>
      <w:tr w:rsidR="00A04C29" w14:paraId="31D74257" w14:textId="77777777" w:rsidTr="00A04C29">
        <w:trPr>
          <w:trHeight w:val="288"/>
        </w:trPr>
        <w:tc>
          <w:tcPr>
            <w:cnfStyle w:val="001000000000" w:firstRow="0" w:lastRow="0" w:firstColumn="1" w:lastColumn="0" w:oddVBand="0" w:evenVBand="0" w:oddHBand="0" w:evenHBand="0" w:firstRowFirstColumn="0" w:firstRowLastColumn="0" w:lastRowFirstColumn="0" w:lastRowLastColumn="0"/>
            <w:tcW w:w="2337" w:type="dxa"/>
            <w:tcBorders>
              <w:left w:val="single" w:sz="4" w:space="0" w:color="000000"/>
            </w:tcBorders>
            <w:vAlign w:val="center"/>
          </w:tcPr>
          <w:p w14:paraId="7E7DDA6D" w14:textId="77777777" w:rsidR="00A04C29" w:rsidRDefault="004229BE">
            <w:pPr>
              <w:jc w:val="center"/>
              <w:rPr>
                <w:rFonts w:ascii="Calibri" w:eastAsia="Calibri" w:hAnsi="Calibri" w:cs="Calibri"/>
                <w:sz w:val="20"/>
                <w:szCs w:val="20"/>
              </w:rPr>
            </w:pPr>
            <w:r>
              <w:rPr>
                <w:rFonts w:ascii="Calibri" w:eastAsia="Calibri" w:hAnsi="Calibri" w:cs="Calibri"/>
                <w:sz w:val="20"/>
                <w:szCs w:val="20"/>
              </w:rPr>
              <w:t>[E] in assay, ng/mL</w:t>
            </w:r>
          </w:p>
        </w:tc>
        <w:tc>
          <w:tcPr>
            <w:tcW w:w="4948" w:type="dxa"/>
            <w:gridSpan w:val="3"/>
            <w:tcBorders>
              <w:right w:val="single" w:sz="4" w:space="0" w:color="000000"/>
            </w:tcBorders>
            <w:vAlign w:val="center"/>
          </w:tcPr>
          <w:p w14:paraId="3D3192BD"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4.5</w:t>
            </w:r>
          </w:p>
        </w:tc>
      </w:tr>
      <w:tr w:rsidR="00A04C29" w14:paraId="47BCB4B9" w14:textId="77777777" w:rsidTr="00A04C29">
        <w:trPr>
          <w:trHeight w:val="288"/>
        </w:trPr>
        <w:tc>
          <w:tcPr>
            <w:cnfStyle w:val="001000000000" w:firstRow="0" w:lastRow="0" w:firstColumn="1" w:lastColumn="0" w:oddVBand="0" w:evenVBand="0" w:oddHBand="0" w:evenHBand="0" w:firstRowFirstColumn="0" w:firstRowLastColumn="0" w:lastRowFirstColumn="0" w:lastRowLastColumn="0"/>
            <w:tcW w:w="2337" w:type="dxa"/>
            <w:tcBorders>
              <w:left w:val="single" w:sz="4" w:space="0" w:color="000000"/>
            </w:tcBorders>
            <w:vAlign w:val="center"/>
          </w:tcPr>
          <w:p w14:paraId="2A18C9BD" w14:textId="77777777" w:rsidR="00A04C29" w:rsidRDefault="004229BE">
            <w:pPr>
              <w:jc w:val="center"/>
              <w:rPr>
                <w:rFonts w:ascii="Calibri" w:eastAsia="Calibri" w:hAnsi="Calibri" w:cs="Calibri"/>
                <w:sz w:val="20"/>
                <w:szCs w:val="20"/>
              </w:rPr>
            </w:pPr>
            <w:r>
              <w:rPr>
                <w:rFonts w:ascii="Calibri" w:eastAsia="Calibri" w:hAnsi="Calibri" w:cs="Calibri"/>
                <w:sz w:val="20"/>
                <w:szCs w:val="20"/>
              </w:rPr>
              <w:t xml:space="preserve">[I] in assay, </w:t>
            </w:r>
            <w:proofErr w:type="spellStart"/>
            <w:r>
              <w:rPr>
                <w:rFonts w:ascii="Calibri" w:eastAsia="Calibri" w:hAnsi="Calibri" w:cs="Calibri"/>
                <w:sz w:val="20"/>
                <w:szCs w:val="20"/>
              </w:rPr>
              <w:t>nM</w:t>
            </w:r>
            <w:proofErr w:type="spellEnd"/>
          </w:p>
        </w:tc>
        <w:tc>
          <w:tcPr>
            <w:tcW w:w="1618" w:type="dxa"/>
            <w:vAlign w:val="center"/>
          </w:tcPr>
          <w:p w14:paraId="1400321A"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20</w:t>
            </w:r>
          </w:p>
        </w:tc>
        <w:tc>
          <w:tcPr>
            <w:tcW w:w="1710" w:type="dxa"/>
            <w:vAlign w:val="center"/>
          </w:tcPr>
          <w:p w14:paraId="668ECC23"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20</w:t>
            </w:r>
          </w:p>
        </w:tc>
        <w:tc>
          <w:tcPr>
            <w:tcW w:w="1620" w:type="dxa"/>
            <w:tcBorders>
              <w:right w:val="single" w:sz="4" w:space="0" w:color="000000"/>
            </w:tcBorders>
            <w:vAlign w:val="center"/>
          </w:tcPr>
          <w:p w14:paraId="0F3A3981"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10</w:t>
            </w:r>
          </w:p>
        </w:tc>
      </w:tr>
      <w:tr w:rsidR="00A04C29" w14:paraId="5835DEFB" w14:textId="77777777" w:rsidTr="00A04C29">
        <w:trPr>
          <w:trHeight w:val="288"/>
        </w:trPr>
        <w:tc>
          <w:tcPr>
            <w:cnfStyle w:val="001000000000" w:firstRow="0" w:lastRow="0" w:firstColumn="1" w:lastColumn="0" w:oddVBand="0" w:evenVBand="0" w:oddHBand="0" w:evenHBand="0" w:firstRowFirstColumn="0" w:firstRowLastColumn="0" w:lastRowFirstColumn="0" w:lastRowLastColumn="0"/>
            <w:tcW w:w="2337" w:type="dxa"/>
            <w:tcBorders>
              <w:left w:val="single" w:sz="4" w:space="0" w:color="000000"/>
              <w:bottom w:val="single" w:sz="4" w:space="0" w:color="000000"/>
            </w:tcBorders>
            <w:vAlign w:val="center"/>
          </w:tcPr>
          <w:p w14:paraId="2D6DF327" w14:textId="77777777" w:rsidR="00A04C29" w:rsidRDefault="004229BE">
            <w:pPr>
              <w:jc w:val="center"/>
              <w:rPr>
                <w:rFonts w:ascii="Calibri" w:eastAsia="Calibri" w:hAnsi="Calibri" w:cs="Calibri"/>
                <w:sz w:val="20"/>
                <w:szCs w:val="20"/>
              </w:rPr>
            </w:pPr>
            <w:proofErr w:type="spellStart"/>
            <w:r>
              <w:rPr>
                <w:rFonts w:ascii="Calibri" w:eastAsia="Calibri" w:hAnsi="Calibri" w:cs="Calibri"/>
                <w:sz w:val="20"/>
                <w:szCs w:val="20"/>
              </w:rPr>
              <w:t>Mwt</w:t>
            </w:r>
            <w:proofErr w:type="spellEnd"/>
            <w:r>
              <w:rPr>
                <w:rFonts w:ascii="Calibri" w:eastAsia="Calibri" w:hAnsi="Calibri" w:cs="Calibri"/>
                <w:sz w:val="20"/>
                <w:szCs w:val="20"/>
              </w:rPr>
              <w:t xml:space="preserve"> of </w:t>
            </w:r>
            <w:proofErr w:type="spellStart"/>
            <w:r>
              <w:rPr>
                <w:rFonts w:ascii="Calibri" w:eastAsia="Calibri" w:hAnsi="Calibri" w:cs="Calibri"/>
                <w:sz w:val="20"/>
                <w:szCs w:val="20"/>
              </w:rPr>
              <w:t>AChE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kD</w:t>
            </w:r>
            <w:proofErr w:type="spellEnd"/>
          </w:p>
        </w:tc>
        <w:tc>
          <w:tcPr>
            <w:tcW w:w="4948" w:type="dxa"/>
            <w:gridSpan w:val="3"/>
            <w:tcBorders>
              <w:bottom w:val="single" w:sz="4" w:space="0" w:color="000000"/>
              <w:right w:val="single" w:sz="4" w:space="0" w:color="000000"/>
            </w:tcBorders>
            <w:vAlign w:val="center"/>
          </w:tcPr>
          <w:p w14:paraId="6E15DFC1" w14:textId="77777777" w:rsidR="00A04C29" w:rsidRDefault="004229B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61.27</w:t>
            </w:r>
          </w:p>
        </w:tc>
      </w:tr>
    </w:tbl>
    <w:p w14:paraId="25B8245E" w14:textId="77777777" w:rsidR="00A04C29" w:rsidRDefault="004229BE">
      <w:pPr>
        <w:rPr>
          <w:color w:val="000000"/>
        </w:rPr>
      </w:pPr>
      <w:r>
        <w:rPr>
          <w:b/>
          <w:color w:val="000000"/>
          <w:sz w:val="18"/>
          <w:szCs w:val="18"/>
        </w:rPr>
        <w:t xml:space="preserve">Table 3. </w:t>
      </w:r>
      <w:r>
        <w:rPr>
          <w:color w:val="000000"/>
          <w:sz w:val="18"/>
          <w:szCs w:val="18"/>
        </w:rPr>
        <w:t>Assay conditions</w:t>
      </w:r>
    </w:p>
    <w:p w14:paraId="2457F42E" w14:textId="77777777" w:rsidR="00A04C29" w:rsidRDefault="00A04C29"/>
    <w:p w14:paraId="5D3F4DDE" w14:textId="77777777" w:rsidR="00A04C29" w:rsidRDefault="004229BE">
      <w:pPr>
        <w:rPr>
          <w:color w:val="0000FF"/>
        </w:rPr>
      </w:pPr>
      <w:r>
        <w:rPr>
          <w:color w:val="0000FF"/>
          <w:u w:val="single"/>
        </w:rPr>
        <w:t>Question 8</w:t>
      </w:r>
      <w:r>
        <w:rPr>
          <w:color w:val="0000FF"/>
        </w:rPr>
        <w:t>: Calculate the catalytic efficiency of acetylcholinesterase in the absence of inhibitor, given that the enzyme concentration in the appropriate experiment was 73.4 picomolar. Is acetylcholinesterase a particularly efficient enzyme or not? Explain.</w:t>
      </w:r>
    </w:p>
    <w:p w14:paraId="609B3096" w14:textId="77777777" w:rsidR="00A04C29" w:rsidRDefault="00A04C29">
      <w:pPr>
        <w:rPr>
          <w:color w:val="0000FF"/>
        </w:rPr>
      </w:pPr>
    </w:p>
    <w:p w14:paraId="3CA3DCC2" w14:textId="77777777" w:rsidR="00A04C29" w:rsidRDefault="004229BE">
      <w:pPr>
        <w:rPr>
          <w:color w:val="0000FF"/>
        </w:rPr>
      </w:pPr>
      <w:r>
        <w:rPr>
          <w:color w:val="0000FF"/>
          <w:u w:val="single"/>
        </w:rPr>
        <w:t>Question 9</w:t>
      </w:r>
      <w:r>
        <w:rPr>
          <w:color w:val="0000FF"/>
        </w:rPr>
        <w:t>: Which of the three inhibitors has the greatest potential to be used as a drug to treat Alzheimer’s patients? Explain your answer.</w:t>
      </w:r>
    </w:p>
    <w:p w14:paraId="7558D863" w14:textId="77777777" w:rsidR="00A04C29" w:rsidRDefault="00A04C29">
      <w:pPr>
        <w:rPr>
          <w:b/>
          <w:color w:val="0000FF"/>
        </w:rPr>
      </w:pPr>
    </w:p>
    <w:p w14:paraId="6C724CF7" w14:textId="77777777" w:rsidR="00A04C29" w:rsidRDefault="004229BE">
      <w:pPr>
        <w:rPr>
          <w:color w:val="0000FF"/>
        </w:rPr>
      </w:pPr>
      <w:bookmarkStart w:id="3" w:name="_heading=h.o44v92z6teia" w:colFirst="0" w:colLast="0"/>
      <w:bookmarkEnd w:id="3"/>
      <w:r>
        <w:rPr>
          <w:color w:val="0000FF"/>
          <w:u w:val="single"/>
        </w:rPr>
        <w:t>Question 10</w:t>
      </w:r>
      <w:r>
        <w:rPr>
          <w:color w:val="0000FF"/>
        </w:rPr>
        <w:t xml:space="preserve">: Suppose you were tasked with designing a new drug to combat a sudden decrease in </w:t>
      </w:r>
      <w:proofErr w:type="spellStart"/>
      <w:r>
        <w:rPr>
          <w:color w:val="0000FF"/>
        </w:rPr>
        <w:t>ACh</w:t>
      </w:r>
      <w:proofErr w:type="spellEnd"/>
      <w:r>
        <w:rPr>
          <w:color w:val="0000FF"/>
        </w:rPr>
        <w:t xml:space="preserve"> levels. What ty</w:t>
      </w:r>
      <w:r>
        <w:rPr>
          <w:color w:val="0000FF"/>
        </w:rPr>
        <w:t xml:space="preserve">pe of inhibitor would you pursue as a treatment and why? </w:t>
      </w:r>
    </w:p>
    <w:sectPr w:rsidR="00A04C29">
      <w:headerReference w:type="default" r:id="rId20"/>
      <w:footerReference w:type="even" r:id="rId21"/>
      <w:footerReference w:type="default" r:id="rId22"/>
      <w:head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9FFA6" w14:textId="77777777" w:rsidR="004229BE" w:rsidRDefault="004229BE">
      <w:pPr>
        <w:spacing w:line="240" w:lineRule="auto"/>
      </w:pPr>
      <w:r>
        <w:separator/>
      </w:r>
    </w:p>
  </w:endnote>
  <w:endnote w:type="continuationSeparator" w:id="0">
    <w:p w14:paraId="2EAF622E" w14:textId="77777777" w:rsidR="004229BE" w:rsidRDefault="00422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w:altName w:val="Arial"/>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6B28B" w14:textId="77777777" w:rsidR="00A04C29" w:rsidRDefault="004229BE">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89C484E" w14:textId="77777777" w:rsidR="00A04C29" w:rsidRDefault="00A04C29">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AE1CB" w14:textId="77777777" w:rsidR="00A04C29" w:rsidRDefault="004229BE">
    <w:pPr>
      <w:pBdr>
        <w:top w:val="nil"/>
        <w:left w:val="nil"/>
        <w:bottom w:val="nil"/>
        <w:right w:val="nil"/>
        <w:between w:val="nil"/>
      </w:pBdr>
      <w:tabs>
        <w:tab w:val="center" w:pos="4680"/>
        <w:tab w:val="right" w:pos="9360"/>
      </w:tabs>
      <w:spacing w:line="240" w:lineRule="auto"/>
      <w:jc w:val="center"/>
      <w:rPr>
        <w:color w:val="000000"/>
        <w:sz w:val="16"/>
        <w:szCs w:val="16"/>
      </w:rPr>
    </w:pPr>
    <w:r>
      <w:rPr>
        <w:color w:val="000000"/>
      </w:rPr>
      <w:fldChar w:fldCharType="begin"/>
    </w:r>
    <w:r>
      <w:rPr>
        <w:color w:val="000000"/>
      </w:rPr>
      <w:instrText>PAGE</w:instrText>
    </w:r>
    <w:r>
      <w:rPr>
        <w:color w:val="000000"/>
      </w:rPr>
      <w:fldChar w:fldCharType="separate"/>
    </w:r>
    <w:r w:rsidR="00242EE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C8C70" w14:textId="77777777" w:rsidR="004229BE" w:rsidRDefault="004229BE">
      <w:pPr>
        <w:spacing w:line="240" w:lineRule="auto"/>
      </w:pPr>
      <w:r>
        <w:separator/>
      </w:r>
    </w:p>
  </w:footnote>
  <w:footnote w:type="continuationSeparator" w:id="0">
    <w:p w14:paraId="06B184F4" w14:textId="77777777" w:rsidR="004229BE" w:rsidRDefault="004229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5C43F" w14:textId="77777777" w:rsidR="00A04C29" w:rsidRDefault="004229BE">
    <w:pPr>
      <w:tabs>
        <w:tab w:val="center" w:pos="4680"/>
        <w:tab w:val="right" w:pos="9360"/>
      </w:tabs>
      <w:spacing w:line="240" w:lineRule="auto"/>
      <w:jc w:val="right"/>
      <w:rPr>
        <w:sz w:val="16"/>
        <w:szCs w:val="16"/>
      </w:rPr>
    </w:pPr>
    <w:r>
      <w:rPr>
        <w:noProof/>
      </w:rPr>
      <w:drawing>
        <wp:inline distT="114300" distB="114300" distL="114300" distR="114300" wp14:anchorId="542EC3EC" wp14:editId="211F05E2">
          <wp:extent cx="919163" cy="430857"/>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9163" cy="430857"/>
                  </a:xfrm>
                  <a:prstGeom prst="rect">
                    <a:avLst/>
                  </a:prstGeom>
                  <a:ln/>
                </pic:spPr>
              </pic:pic>
            </a:graphicData>
          </a:graphic>
        </wp:inline>
      </w:drawing>
    </w:r>
  </w:p>
  <w:p w14:paraId="71D66BFE" w14:textId="77777777" w:rsidR="00A04C29" w:rsidRDefault="004229BE">
    <w:pPr>
      <w:tabs>
        <w:tab w:val="center" w:pos="4680"/>
        <w:tab w:val="right" w:pos="9360"/>
      </w:tabs>
      <w:spacing w:line="240" w:lineRule="auto"/>
      <w:jc w:val="right"/>
    </w:pPr>
    <w:r>
      <w:rPr>
        <w:sz w:val="16"/>
        <w:szCs w:val="16"/>
      </w:rPr>
      <w:t>Authors: Kristen Procko, Giani Tah, Michael The, Vishal Patel, Shravya Yarlagadda</w:t>
    </w:r>
  </w:p>
  <w:p w14:paraId="49F9D793" w14:textId="77777777" w:rsidR="00A04C29" w:rsidRDefault="00A04C29">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1DDE4" w14:textId="77777777" w:rsidR="00A04C29" w:rsidRDefault="004229BE">
    <w:pPr>
      <w:tabs>
        <w:tab w:val="center" w:pos="4680"/>
        <w:tab w:val="right" w:pos="9360"/>
      </w:tabs>
      <w:spacing w:line="240" w:lineRule="auto"/>
      <w:jc w:val="right"/>
      <w:rPr>
        <w:sz w:val="16"/>
        <w:szCs w:val="16"/>
      </w:rPr>
    </w:pPr>
    <w:r>
      <w:rPr>
        <w:noProof/>
      </w:rPr>
      <w:drawing>
        <wp:inline distT="114300" distB="114300" distL="114300" distR="114300" wp14:anchorId="3E317E14" wp14:editId="0BBE89FA">
          <wp:extent cx="919163" cy="430857"/>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9163" cy="430857"/>
                  </a:xfrm>
                  <a:prstGeom prst="rect">
                    <a:avLst/>
                  </a:prstGeom>
                  <a:ln/>
                </pic:spPr>
              </pic:pic>
            </a:graphicData>
          </a:graphic>
        </wp:inline>
      </w:drawing>
    </w:r>
  </w:p>
  <w:p w14:paraId="703A4067" w14:textId="77777777" w:rsidR="00A04C29" w:rsidRDefault="004229BE">
    <w:pPr>
      <w:tabs>
        <w:tab w:val="center" w:pos="4680"/>
        <w:tab w:val="right" w:pos="9360"/>
      </w:tabs>
      <w:spacing w:line="240" w:lineRule="auto"/>
      <w:jc w:val="right"/>
    </w:pPr>
    <w:r>
      <w:rPr>
        <w:sz w:val="16"/>
        <w:szCs w:val="16"/>
      </w:rPr>
      <w:t>Authors: Kristen Procko, Giani Tah, Michael The, Vishal Patel, Shravya Yarlagadda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FB56D7"/>
    <w:multiLevelType w:val="multilevel"/>
    <w:tmpl w:val="75F81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C29"/>
    <w:rsid w:val="00242EEA"/>
    <w:rsid w:val="004229BE"/>
    <w:rsid w:val="00A04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8AC2E9"/>
  <w15:docId w15:val="{03D9E630-D53C-004C-8676-B5BEBE422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01" w:type="dxa"/>
        <w:right w:w="101" w:type="dxa"/>
      </w:tblCellMar>
    </w:tblPr>
  </w:style>
  <w:style w:type="table" w:customStyle="1" w:styleId="a0">
    <w:basedOn w:val="TableNormal"/>
    <w:pPr>
      <w:spacing w:line="240" w:lineRule="auto"/>
    </w:pPr>
    <w:tblPr>
      <w:tblStyleRowBandSize w:val="1"/>
      <w:tblStyleColBandSize w:val="1"/>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pPr>
      <w:spacing w:line="240" w:lineRule="auto"/>
    </w:pPr>
    <w:tblPr>
      <w:tblStyleRowBandSize w:val="1"/>
      <w:tblStyleColBandSize w:val="1"/>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paragraph" w:styleId="ListParagraph">
    <w:name w:val="List Paragraph"/>
    <w:basedOn w:val="Normal"/>
    <w:uiPriority w:val="34"/>
    <w:qFormat/>
    <w:rsid w:val="007B1E45"/>
    <w:pPr>
      <w:ind w:left="720"/>
      <w:contextualSpacing/>
    </w:pPr>
  </w:style>
  <w:style w:type="paragraph" w:styleId="Footer">
    <w:name w:val="footer"/>
    <w:basedOn w:val="Normal"/>
    <w:link w:val="FooterChar"/>
    <w:uiPriority w:val="99"/>
    <w:unhideWhenUsed/>
    <w:rsid w:val="00491824"/>
    <w:pPr>
      <w:tabs>
        <w:tab w:val="center" w:pos="4680"/>
        <w:tab w:val="right" w:pos="9360"/>
      </w:tabs>
      <w:spacing w:line="240" w:lineRule="auto"/>
    </w:pPr>
  </w:style>
  <w:style w:type="character" w:customStyle="1" w:styleId="FooterChar">
    <w:name w:val="Footer Char"/>
    <w:basedOn w:val="DefaultParagraphFont"/>
    <w:link w:val="Footer"/>
    <w:uiPriority w:val="99"/>
    <w:rsid w:val="00491824"/>
  </w:style>
  <w:style w:type="character" w:styleId="PageNumber">
    <w:name w:val="page number"/>
    <w:basedOn w:val="DefaultParagraphFont"/>
    <w:uiPriority w:val="99"/>
    <w:semiHidden/>
    <w:unhideWhenUsed/>
    <w:rsid w:val="00491824"/>
  </w:style>
  <w:style w:type="paragraph" w:styleId="Header">
    <w:name w:val="header"/>
    <w:basedOn w:val="Normal"/>
    <w:link w:val="HeaderChar"/>
    <w:uiPriority w:val="99"/>
    <w:unhideWhenUsed/>
    <w:rsid w:val="00086DEB"/>
    <w:pPr>
      <w:tabs>
        <w:tab w:val="center" w:pos="4680"/>
        <w:tab w:val="right" w:pos="9360"/>
      </w:tabs>
      <w:spacing w:line="240" w:lineRule="auto"/>
    </w:pPr>
  </w:style>
  <w:style w:type="character" w:customStyle="1" w:styleId="HeaderChar">
    <w:name w:val="Header Char"/>
    <w:basedOn w:val="DefaultParagraphFont"/>
    <w:link w:val="Header"/>
    <w:uiPriority w:val="99"/>
    <w:rsid w:val="00086DEB"/>
  </w:style>
  <w:style w:type="character" w:styleId="CommentReference">
    <w:name w:val="annotation reference"/>
    <w:basedOn w:val="DefaultParagraphFont"/>
    <w:uiPriority w:val="99"/>
    <w:semiHidden/>
    <w:unhideWhenUsed/>
    <w:rsid w:val="008539EE"/>
    <w:rPr>
      <w:sz w:val="16"/>
      <w:szCs w:val="16"/>
    </w:rPr>
  </w:style>
  <w:style w:type="paragraph" w:styleId="CommentText">
    <w:name w:val="annotation text"/>
    <w:basedOn w:val="Normal"/>
    <w:link w:val="CommentTextChar"/>
    <w:uiPriority w:val="99"/>
    <w:semiHidden/>
    <w:unhideWhenUsed/>
    <w:rsid w:val="008539EE"/>
    <w:pPr>
      <w:spacing w:line="240" w:lineRule="auto"/>
    </w:pPr>
    <w:rPr>
      <w:sz w:val="20"/>
      <w:szCs w:val="20"/>
    </w:rPr>
  </w:style>
  <w:style w:type="character" w:customStyle="1" w:styleId="CommentTextChar">
    <w:name w:val="Comment Text Char"/>
    <w:basedOn w:val="DefaultParagraphFont"/>
    <w:link w:val="CommentText"/>
    <w:uiPriority w:val="99"/>
    <w:semiHidden/>
    <w:rsid w:val="008539EE"/>
    <w:rPr>
      <w:sz w:val="20"/>
      <w:szCs w:val="20"/>
    </w:rPr>
  </w:style>
  <w:style w:type="paragraph" w:styleId="CommentSubject">
    <w:name w:val="annotation subject"/>
    <w:basedOn w:val="CommentText"/>
    <w:next w:val="CommentText"/>
    <w:link w:val="CommentSubjectChar"/>
    <w:uiPriority w:val="99"/>
    <w:semiHidden/>
    <w:unhideWhenUsed/>
    <w:rsid w:val="008539EE"/>
    <w:rPr>
      <w:b/>
      <w:bCs/>
    </w:rPr>
  </w:style>
  <w:style w:type="character" w:customStyle="1" w:styleId="CommentSubjectChar">
    <w:name w:val="Comment Subject Char"/>
    <w:basedOn w:val="CommentTextChar"/>
    <w:link w:val="CommentSubject"/>
    <w:uiPriority w:val="99"/>
    <w:semiHidden/>
    <w:rsid w:val="008539EE"/>
    <w:rPr>
      <w:b/>
      <w:bCs/>
      <w:sz w:val="20"/>
      <w:szCs w:val="20"/>
    </w:rPr>
  </w:style>
  <w:style w:type="paragraph" w:styleId="BalloonText">
    <w:name w:val="Balloon Text"/>
    <w:basedOn w:val="Normal"/>
    <w:link w:val="BalloonTextChar"/>
    <w:uiPriority w:val="99"/>
    <w:semiHidden/>
    <w:unhideWhenUsed/>
    <w:rsid w:val="008539E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39EE"/>
    <w:rPr>
      <w:rFonts w:ascii="Times New Roman" w:hAnsi="Times New Roman" w:cs="Times New Roman"/>
      <w:sz w:val="18"/>
      <w:szCs w:val="18"/>
    </w:rPr>
  </w:style>
  <w:style w:type="table" w:customStyle="1" w:styleId="a2">
    <w:basedOn w:val="TableNormal"/>
    <w:pPr>
      <w:spacing w:line="240" w:lineRule="auto"/>
    </w:pPr>
    <w:tblPr>
      <w:tblStyleRowBandSize w:val="1"/>
      <w:tblStyleColBandSize w:val="1"/>
      <w:tblCellMar>
        <w:left w:w="101" w:type="dxa"/>
        <w:right w:w="101" w:type="dxa"/>
      </w:tblCellMar>
    </w:tblPr>
  </w:style>
  <w:style w:type="table" w:customStyle="1" w:styleId="a3">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5">
    <w:basedOn w:val="TableNormal"/>
    <w:pPr>
      <w:spacing w:line="240" w:lineRule="auto"/>
    </w:pPr>
    <w:tblPr>
      <w:tblStyleRowBandSize w:val="1"/>
      <w:tblStyleColBandSize w:val="1"/>
      <w:tblCellMar>
        <w:left w:w="101" w:type="dxa"/>
        <w:right w:w="101" w:type="dxa"/>
      </w:tblCellMar>
    </w:tblPr>
  </w:style>
  <w:style w:type="table" w:customStyle="1" w:styleId="a6">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7">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character" w:styleId="Hyperlink">
    <w:name w:val="Hyperlink"/>
    <w:basedOn w:val="DefaultParagraphFont"/>
    <w:uiPriority w:val="99"/>
    <w:unhideWhenUsed/>
    <w:rsid w:val="00A9725B"/>
    <w:rPr>
      <w:color w:val="0000FF" w:themeColor="hyperlink"/>
      <w:u w:val="single"/>
    </w:rPr>
  </w:style>
  <w:style w:type="character" w:styleId="UnresolvedMention">
    <w:name w:val="Unresolved Mention"/>
    <w:basedOn w:val="DefaultParagraphFont"/>
    <w:uiPriority w:val="99"/>
    <w:semiHidden/>
    <w:unhideWhenUsed/>
    <w:rsid w:val="00A9725B"/>
    <w:rPr>
      <w:color w:val="605E5C"/>
      <w:shd w:val="clear" w:color="auto" w:fill="E1DFDD"/>
    </w:rPr>
  </w:style>
  <w:style w:type="character" w:styleId="FollowedHyperlink">
    <w:name w:val="FollowedHyperlink"/>
    <w:basedOn w:val="DefaultParagraphFont"/>
    <w:uiPriority w:val="99"/>
    <w:semiHidden/>
    <w:unhideWhenUsed/>
    <w:rsid w:val="008C6502"/>
    <w:rPr>
      <w:color w:val="800080" w:themeColor="followedHyperlink"/>
      <w:u w:val="single"/>
    </w:rPr>
  </w:style>
  <w:style w:type="table" w:customStyle="1" w:styleId="a8">
    <w:basedOn w:val="TableNormal"/>
    <w:pPr>
      <w:spacing w:line="240" w:lineRule="auto"/>
    </w:pPr>
    <w:tblPr>
      <w:tblStyleRowBandSize w:val="1"/>
      <w:tblStyleColBandSize w:val="1"/>
      <w:tblCellMar>
        <w:left w:w="101" w:type="dxa"/>
        <w:right w:w="101" w:type="dxa"/>
      </w:tblCellMar>
    </w:tblPr>
  </w:style>
  <w:style w:type="table" w:customStyle="1" w:styleId="a9">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a">
    <w:basedOn w:val="TableNormal"/>
    <w:pPr>
      <w:spacing w:line="240" w:lineRule="auto"/>
    </w:pPr>
    <w:tblPr>
      <w:tblStyleRowBandSize w:val="1"/>
      <w:tblStyleColBandSize w:val="1"/>
      <w:tblCellMar>
        <w:left w:w="101" w:type="dxa"/>
        <w:right w:w="101"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I6K10aif0tE"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CNkOGRidd/GYe5Yk3SHh99cRQ==">CgMxLjAaJAoBMBIfCh0IB0IZCgVBcmltbxIQQXJpYWwgVW5pY29kZSBNUxokCgExEh8KHQgHQhkKBUFyaW1vEhBBcmlhbCBVbmljb2RlIE1TGiQKATISHwodCAdCGQoFQXJpbW8SEEFyaWFsIFVuaWNvZGUgTVMaJAoBMxIfCh0IB0IZCgVBcmltbxIQQXJpYWwgVW5pY29kZSBNUxodCgE0EhgKFggHQhISEEFyaWFsIFVuaWNvZGUgTVMyDmguYndlZGlmOHJteHA1MghoLmdqZGd4czIOaC5qeHZ1dHBkcjRrMDEyDmgubzQ0djkyejZ0ZWlhOAByITFtbmVWMWg4NU5KekwyODhLNVhxUnVhSG5WRWRLVlZB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2161</Words>
  <Characters>12320</Characters>
  <Application>Microsoft Office Word</Application>
  <DocSecurity>0</DocSecurity>
  <Lines>102</Lines>
  <Paragraphs>28</Paragraphs>
  <ScaleCrop>false</ScaleCrop>
  <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dc:creator>
  <cp:lastModifiedBy>Shuchismita Dutta</cp:lastModifiedBy>
  <cp:revision>2</cp:revision>
  <dcterms:created xsi:type="dcterms:W3CDTF">2022-03-04T17:11:00Z</dcterms:created>
  <dcterms:modified xsi:type="dcterms:W3CDTF">2025-06-06T21:14:00Z</dcterms:modified>
</cp:coreProperties>
</file>