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ek3hbytldgsg" w:id="0"/>
      <w:bookmarkEnd w:id="0"/>
      <w:r w:rsidDel="00000000" w:rsidR="00000000" w:rsidRPr="00000000">
        <w:rPr>
          <w:rtl w:val="0"/>
        </w:rPr>
        <w:t xml:space="preserve">Teaching Notes for Rise of Antibiotic Resistance: Gonorrhea</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numPr>
          <w:ilvl w:val="0"/>
          <w:numId w:val="11"/>
        </w:numPr>
        <w:ind w:left="720" w:hanging="360"/>
        <w:rPr>
          <w:b w:val="1"/>
        </w:rPr>
      </w:pPr>
      <w:bookmarkStart w:colFirst="0" w:colLast="0" w:name="_heading=h.ur84r17p64g7" w:id="1"/>
      <w:bookmarkEnd w:id="1"/>
      <w:r w:rsidDel="00000000" w:rsidR="00000000" w:rsidRPr="00000000">
        <w:rPr>
          <w:b w:val="1"/>
          <w:u w:val="single"/>
          <w:rtl w:val="0"/>
        </w:rPr>
        <w:t xml:space="preserve">About the Author(s)</w:t>
      </w:r>
      <w:r w:rsidDel="00000000" w:rsidR="00000000" w:rsidRPr="00000000">
        <w:rPr>
          <w:rtl w:val="0"/>
        </w:rPr>
      </w:r>
    </w:p>
    <w:p w:rsidR="00000000" w:rsidDel="00000000" w:rsidP="00000000" w:rsidRDefault="00000000" w:rsidRPr="00000000" w14:paraId="00000004">
      <w:pPr>
        <w:numPr>
          <w:ilvl w:val="0"/>
          <w:numId w:val="7"/>
        </w:numPr>
        <w:ind w:left="720" w:hanging="360"/>
        <w:rPr/>
      </w:pPr>
      <w:r w:rsidDel="00000000" w:rsidR="00000000" w:rsidRPr="00000000">
        <w:rPr>
          <w:b w:val="1"/>
          <w:rtl w:val="0"/>
        </w:rPr>
        <w:t xml:space="preserve">Name</w:t>
      </w:r>
      <w:r w:rsidDel="00000000" w:rsidR="00000000" w:rsidRPr="00000000">
        <w:rPr>
          <w:rtl w:val="0"/>
        </w:rPr>
        <w:t xml:space="preserve">: Saumya M. Sankaran</w:t>
      </w:r>
    </w:p>
    <w:p w:rsidR="00000000" w:rsidDel="00000000" w:rsidP="00000000" w:rsidRDefault="00000000" w:rsidRPr="00000000" w14:paraId="00000005">
      <w:pPr>
        <w:numPr>
          <w:ilvl w:val="0"/>
          <w:numId w:val="7"/>
        </w:numPr>
        <w:ind w:left="720" w:hanging="360"/>
        <w:rPr/>
      </w:pPr>
      <w:r w:rsidDel="00000000" w:rsidR="00000000" w:rsidRPr="00000000">
        <w:rPr>
          <w:b w:val="1"/>
          <w:rtl w:val="0"/>
        </w:rPr>
        <w:t xml:space="preserve">Affiliation</w:t>
      </w:r>
      <w:r w:rsidDel="00000000" w:rsidR="00000000" w:rsidRPr="00000000">
        <w:rPr>
          <w:rtl w:val="0"/>
        </w:rPr>
        <w:t xml:space="preserve">: Division of Science and Mathematics, University of Washington Tacoma </w:t>
      </w:r>
    </w:p>
    <w:p w:rsidR="00000000" w:rsidDel="00000000" w:rsidP="00000000" w:rsidRDefault="00000000" w:rsidRPr="00000000" w14:paraId="00000006">
      <w:pPr>
        <w:numPr>
          <w:ilvl w:val="0"/>
          <w:numId w:val="7"/>
        </w:numPr>
        <w:ind w:left="720" w:hanging="360"/>
        <w:rPr/>
      </w:pPr>
      <w:r w:rsidDel="00000000" w:rsidR="00000000" w:rsidRPr="00000000">
        <w:rPr>
          <w:b w:val="1"/>
          <w:rtl w:val="0"/>
        </w:rPr>
        <w:t xml:space="preserve">Contact information</w:t>
      </w:r>
      <w:r w:rsidDel="00000000" w:rsidR="00000000" w:rsidRPr="00000000">
        <w:rPr>
          <w:rtl w:val="0"/>
        </w:rPr>
        <w:t xml:space="preserve">: saumyas1@uw.edu</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1"/>
        </w:numPr>
        <w:ind w:left="720" w:hanging="360"/>
        <w:rPr>
          <w:b w:val="1"/>
        </w:rPr>
      </w:pPr>
      <w:r w:rsidDel="00000000" w:rsidR="00000000" w:rsidRPr="00000000">
        <w:rPr>
          <w:b w:val="1"/>
          <w:u w:val="single"/>
          <w:rtl w:val="0"/>
        </w:rPr>
        <w:t xml:space="preserve">About the Molecular Case Study:</w:t>
      </w:r>
      <w:r w:rsidDel="00000000" w:rsidR="00000000" w:rsidRPr="00000000">
        <w:rPr>
          <w:rtl w:val="0"/>
        </w:rPr>
      </w:r>
    </w:p>
    <w:p w:rsidR="00000000" w:rsidDel="00000000" w:rsidP="00000000" w:rsidRDefault="00000000" w:rsidRPr="00000000" w14:paraId="00000009">
      <w:pPr>
        <w:numPr>
          <w:ilvl w:val="0"/>
          <w:numId w:val="8"/>
        </w:numPr>
        <w:ind w:left="720" w:hanging="360"/>
        <w:rPr/>
      </w:pPr>
      <w:r w:rsidDel="00000000" w:rsidR="00000000" w:rsidRPr="00000000">
        <w:rPr>
          <w:b w:val="1"/>
          <w:rtl w:val="0"/>
        </w:rPr>
        <w:t xml:space="preserve">Case Title</w:t>
      </w:r>
      <w:r w:rsidDel="00000000" w:rsidR="00000000" w:rsidRPr="00000000">
        <w:rPr>
          <w:rtl w:val="0"/>
        </w:rPr>
        <w:t xml:space="preserve">: The rise of antibiotic resistance: gonorrhea.</w:t>
      </w:r>
    </w:p>
    <w:p w:rsidR="00000000" w:rsidDel="00000000" w:rsidP="00000000" w:rsidRDefault="00000000" w:rsidRPr="00000000" w14:paraId="0000000A">
      <w:pPr>
        <w:numPr>
          <w:ilvl w:val="0"/>
          <w:numId w:val="8"/>
        </w:numPr>
        <w:ind w:left="720" w:hanging="360"/>
        <w:rPr/>
      </w:pPr>
      <w:r w:rsidDel="00000000" w:rsidR="00000000" w:rsidRPr="00000000">
        <w:rPr>
          <w:b w:val="1"/>
          <w:rtl w:val="0"/>
        </w:rPr>
        <w:t xml:space="preserve">Discipline(s): </w:t>
      </w:r>
      <w:r w:rsidDel="00000000" w:rsidR="00000000" w:rsidRPr="00000000">
        <w:rPr>
          <w:rtl w:val="0"/>
        </w:rPr>
        <w:t xml:space="preserve">Biology </w:t>
      </w:r>
    </w:p>
    <w:p w:rsidR="00000000" w:rsidDel="00000000" w:rsidP="00000000" w:rsidRDefault="00000000" w:rsidRPr="00000000" w14:paraId="0000000B">
      <w:pPr>
        <w:numPr>
          <w:ilvl w:val="0"/>
          <w:numId w:val="8"/>
        </w:numPr>
        <w:ind w:left="720" w:hanging="360"/>
        <w:rPr/>
      </w:pPr>
      <w:r w:rsidDel="00000000" w:rsidR="00000000" w:rsidRPr="00000000">
        <w:rPr>
          <w:b w:val="1"/>
          <w:rtl w:val="0"/>
        </w:rPr>
        <w:t xml:space="preserve">Keywords</w:t>
      </w:r>
      <w:r w:rsidDel="00000000" w:rsidR="00000000" w:rsidRPr="00000000">
        <w:rPr>
          <w:rtl w:val="0"/>
        </w:rPr>
        <w:t xml:space="preserve">: antibiotic resistance, antimicrobial resistance, beta-lactam, penicillin, cephalosporin, gonorrhea, superbugs </w:t>
        <w:tab/>
      </w:r>
    </w:p>
    <w:p w:rsidR="00000000" w:rsidDel="00000000" w:rsidP="00000000" w:rsidRDefault="00000000" w:rsidRPr="00000000" w14:paraId="0000000C">
      <w:pPr>
        <w:numPr>
          <w:ilvl w:val="0"/>
          <w:numId w:val="8"/>
        </w:numPr>
        <w:ind w:left="720" w:hanging="360"/>
        <w:rPr/>
      </w:pPr>
      <w:r w:rsidDel="00000000" w:rsidR="00000000" w:rsidRPr="00000000">
        <w:rPr>
          <w:b w:val="1"/>
          <w:rtl w:val="0"/>
        </w:rPr>
        <w:t xml:space="preserve">Abstract</w:t>
      </w:r>
      <w:r w:rsidDel="00000000" w:rsidR="00000000" w:rsidRPr="00000000">
        <w:rPr>
          <w:rtl w:val="0"/>
        </w:rPr>
        <w:t xml:space="preserve">: This case focuses on antibiotic use leading to strains of resistant bacteria that can no longer be treated with the same medications. It uses the example of bacterial resistance to antibiotics to show how small changes in protein structures can lead to differences in protein function, specifically through changes in interaction with small molecule drugs. The case begins with examining the CDC page on drug-resistant gonorrhea and the prevalence of strains resistant to at least one antibiotic. It uses pre-readings on mechanisms of antibiotic function and mechanisms of resistance to frame the molecular explorations, which examine cephalosporin-susceptible and cephalosporin-resistant penicillin binding proteins. This case relates visualization of protein structure to the fundamental concept of structure-function relationships, then ties this back to natural selection of heritable traits and microevolution in bacteria.</w:t>
      </w:r>
    </w:p>
    <w:p w:rsidR="00000000" w:rsidDel="00000000" w:rsidP="00000000" w:rsidRDefault="00000000" w:rsidRPr="00000000" w14:paraId="0000000D">
      <w:pPr>
        <w:numPr>
          <w:ilvl w:val="0"/>
          <w:numId w:val="8"/>
        </w:numPr>
        <w:ind w:left="720" w:hanging="360"/>
        <w:rPr/>
      </w:pPr>
      <w:r w:rsidDel="00000000" w:rsidR="00000000" w:rsidRPr="00000000">
        <w:rPr>
          <w:b w:val="1"/>
          <w:rtl w:val="0"/>
        </w:rPr>
        <w:t xml:space="preserve">Molecules explored</w:t>
      </w:r>
      <w:r w:rsidDel="00000000" w:rsidR="00000000" w:rsidRPr="00000000">
        <w:rPr>
          <w:rtl w:val="0"/>
        </w:rPr>
        <w:t xml:space="preserve">: The primary molecule studied is penicillin-binding protein (PBP2) from </w:t>
      </w:r>
      <w:r w:rsidDel="00000000" w:rsidR="00000000" w:rsidRPr="00000000">
        <w:rPr>
          <w:i w:val="1"/>
          <w:rtl w:val="0"/>
        </w:rPr>
        <w:t xml:space="preserve">Neisseria gonorrhoeae</w:t>
      </w:r>
      <w:r w:rsidDel="00000000" w:rsidR="00000000" w:rsidRPr="00000000">
        <w:rPr>
          <w:rtl w:val="0"/>
        </w:rPr>
        <w:t xml:space="preserve"> alone or with cephalosporin ligands bound.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1"/>
        </w:numPr>
        <w:ind w:left="720" w:hanging="360"/>
        <w:rPr>
          <w:b w:val="1"/>
        </w:rPr>
      </w:pPr>
      <w:r w:rsidDel="00000000" w:rsidR="00000000" w:rsidRPr="00000000">
        <w:rPr>
          <w:b w:val="1"/>
          <w:u w:val="single"/>
          <w:rtl w:val="0"/>
        </w:rPr>
        <w:t xml:space="preserve">About the Course:</w:t>
      </w:r>
      <w:r w:rsidDel="00000000" w:rsidR="00000000" w:rsidRPr="00000000">
        <w:rPr>
          <w:rtl w:val="0"/>
        </w:rPr>
      </w:r>
    </w:p>
    <w:p w:rsidR="00000000" w:rsidDel="00000000" w:rsidP="00000000" w:rsidRDefault="00000000" w:rsidRPr="00000000" w14:paraId="00000010">
      <w:pPr>
        <w:ind w:left="720" w:firstLine="0"/>
        <w:rPr>
          <w:i w:val="1"/>
        </w:rPr>
      </w:pPr>
      <w:r w:rsidDel="00000000" w:rsidR="00000000" w:rsidRPr="00000000">
        <w:rPr>
          <w:i w:val="1"/>
          <w:rtl w:val="0"/>
        </w:rPr>
        <w:t xml:space="preserve">This section will be available to teachers and can help teachers in planning the implementation of this molecular case study.</w:t>
      </w:r>
    </w:p>
    <w:p w:rsidR="00000000" w:rsidDel="00000000" w:rsidP="00000000" w:rsidRDefault="00000000" w:rsidRPr="00000000" w14:paraId="00000011">
      <w:pPr>
        <w:numPr>
          <w:ilvl w:val="0"/>
          <w:numId w:val="10"/>
        </w:numPr>
        <w:ind w:left="720" w:hanging="360"/>
        <w:rPr/>
      </w:pPr>
      <w:r w:rsidDel="00000000" w:rsidR="00000000" w:rsidRPr="00000000">
        <w:rPr>
          <w:b w:val="1"/>
          <w:rtl w:val="0"/>
        </w:rPr>
        <w:t xml:space="preserve">Department</w:t>
      </w:r>
      <w:r w:rsidDel="00000000" w:rsidR="00000000" w:rsidRPr="00000000">
        <w:rPr>
          <w:rtl w:val="0"/>
        </w:rPr>
        <w:t xml:space="preserve">: Biology </w:t>
      </w:r>
    </w:p>
    <w:p w:rsidR="00000000" w:rsidDel="00000000" w:rsidP="00000000" w:rsidRDefault="00000000" w:rsidRPr="00000000" w14:paraId="00000012">
      <w:pPr>
        <w:numPr>
          <w:ilvl w:val="0"/>
          <w:numId w:val="10"/>
        </w:numPr>
        <w:ind w:left="720" w:hanging="360"/>
        <w:rPr/>
      </w:pPr>
      <w:r w:rsidDel="00000000" w:rsidR="00000000" w:rsidRPr="00000000">
        <w:rPr>
          <w:b w:val="1"/>
          <w:rtl w:val="0"/>
        </w:rPr>
        <w:t xml:space="preserve">Course Name</w:t>
      </w:r>
      <w:r w:rsidDel="00000000" w:rsidR="00000000" w:rsidRPr="00000000">
        <w:rPr>
          <w:rtl w:val="0"/>
        </w:rPr>
        <w:t xml:space="preserve">: Introductory Biology 2 (covering basic molecular &amp; cell biology + metabolism)</w:t>
      </w:r>
    </w:p>
    <w:p w:rsidR="00000000" w:rsidDel="00000000" w:rsidP="00000000" w:rsidRDefault="00000000" w:rsidRPr="00000000" w14:paraId="00000013">
      <w:pPr>
        <w:numPr>
          <w:ilvl w:val="0"/>
          <w:numId w:val="10"/>
        </w:numPr>
        <w:ind w:left="720" w:hanging="360"/>
        <w:rPr/>
      </w:pPr>
      <w:r w:rsidDel="00000000" w:rsidR="00000000" w:rsidRPr="00000000">
        <w:rPr>
          <w:b w:val="1"/>
          <w:rtl w:val="0"/>
        </w:rPr>
        <w:t xml:space="preserve">Audience</w:t>
      </w:r>
      <w:r w:rsidDel="00000000" w:rsidR="00000000" w:rsidRPr="00000000">
        <w:rPr>
          <w:rtl w:val="0"/>
        </w:rPr>
        <w:t xml:space="preserve"> (</w:t>
      </w:r>
      <w:r w:rsidDel="00000000" w:rsidR="00000000" w:rsidRPr="00000000">
        <w:rPr>
          <w:i w:val="1"/>
          <w:rtl w:val="0"/>
        </w:rPr>
        <w:t xml:space="preserve">select one</w:t>
      </w:r>
      <w:r w:rsidDel="00000000" w:rsidR="00000000" w:rsidRPr="00000000">
        <w:rPr>
          <w:rtl w:val="0"/>
        </w:rPr>
        <w:t xml:space="preserve">): High School  / </w:t>
      </w:r>
      <w:r w:rsidDel="00000000" w:rsidR="00000000" w:rsidRPr="00000000">
        <w:rPr>
          <w:b w:val="1"/>
          <w:rtl w:val="0"/>
        </w:rPr>
        <w:t xml:space="preserve"> </w:t>
      </w:r>
      <w:r w:rsidDel="00000000" w:rsidR="00000000" w:rsidRPr="00000000">
        <w:rPr>
          <w:b w:val="1"/>
          <w:rtl w:val="0"/>
        </w:rPr>
        <w:t xml:space="preserve">Undergraduate </w:t>
      </w:r>
      <w:r w:rsidDel="00000000" w:rsidR="00000000" w:rsidRPr="00000000">
        <w:rPr>
          <w:rtl w:val="0"/>
        </w:rPr>
        <w:t xml:space="preserve"> /  Graduate   /  Faculty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4">
      <w:pPr>
        <w:numPr>
          <w:ilvl w:val="0"/>
          <w:numId w:val="10"/>
        </w:numPr>
        <w:ind w:left="720" w:hanging="360"/>
        <w:rPr/>
      </w:pPr>
      <w:r w:rsidDel="00000000" w:rsidR="00000000" w:rsidRPr="00000000">
        <w:rPr>
          <w:b w:val="1"/>
          <w:rtl w:val="0"/>
        </w:rPr>
        <w:t xml:space="preserve">Level </w:t>
      </w:r>
      <w:r w:rsidDel="00000000" w:rsidR="00000000" w:rsidRPr="00000000">
        <w:rPr>
          <w:rtl w:val="0"/>
        </w:rPr>
        <w:t xml:space="preserve"> (</w:t>
      </w:r>
      <w:r w:rsidDel="00000000" w:rsidR="00000000" w:rsidRPr="00000000">
        <w:rPr>
          <w:i w:val="1"/>
          <w:rtl w:val="0"/>
        </w:rPr>
        <w:t xml:space="preserve">select one</w:t>
      </w:r>
      <w:r w:rsidDel="00000000" w:rsidR="00000000" w:rsidRPr="00000000">
        <w:rPr>
          <w:rtl w:val="0"/>
        </w:rPr>
        <w:t xml:space="preserve">): </w:t>
        <w:tab/>
        <w:t xml:space="preserve">Intro level</w:t>
      </w:r>
      <w:r w:rsidDel="00000000" w:rsidR="00000000" w:rsidRPr="00000000">
        <w:rPr>
          <w:b w:val="1"/>
          <w:rtl w:val="0"/>
        </w:rPr>
        <w:t xml:space="preserve">  </w:t>
      </w:r>
      <w:r w:rsidDel="00000000" w:rsidR="00000000" w:rsidRPr="00000000">
        <w:rPr>
          <w:rtl w:val="0"/>
        </w:rPr>
        <w:t xml:space="preserve"> /</w:t>
        <w:tab/>
      </w:r>
      <w:r w:rsidDel="00000000" w:rsidR="00000000" w:rsidRPr="00000000">
        <w:rPr>
          <w:b w:val="1"/>
          <w:rtl w:val="0"/>
        </w:rPr>
        <w:t xml:space="preserve">Upper Division</w:t>
        <w:tab/>
      </w:r>
      <w:r w:rsidDel="00000000" w:rsidR="00000000" w:rsidRPr="00000000">
        <w:rPr>
          <w:rtl w:val="0"/>
        </w:rPr>
      </w:r>
    </w:p>
    <w:p w:rsidR="00000000" w:rsidDel="00000000" w:rsidP="00000000" w:rsidRDefault="00000000" w:rsidRPr="00000000" w14:paraId="00000015">
      <w:pPr>
        <w:ind w:left="1440" w:firstLine="720"/>
        <w:rPr>
          <w:u w:val="single"/>
        </w:rPr>
      </w:pPr>
      <w:r w:rsidDel="00000000" w:rsidR="00000000" w:rsidRPr="00000000">
        <w:rPr>
          <w:rtl w:val="0"/>
        </w:rPr>
        <w:t xml:space="preserve">Non-STEM major</w:t>
      </w:r>
      <w:r w:rsidDel="00000000" w:rsidR="00000000" w:rsidRPr="00000000">
        <w:rPr>
          <w:b w:val="1"/>
          <w:rtl w:val="0"/>
        </w:rPr>
        <w:t xml:space="preserve">  / </w:t>
        <w:tab/>
        <w:t xml:space="preserve">Majors </w:t>
      </w:r>
      <w:r w:rsidDel="00000000" w:rsidR="00000000" w:rsidRPr="00000000">
        <w:rPr>
          <w:rtl w:val="0"/>
        </w:rPr>
        <w:t xml:space="preserve"> </w:t>
      </w:r>
      <w:r w:rsidDel="00000000" w:rsidR="00000000" w:rsidRPr="00000000">
        <w:rPr>
          <w:i w:val="1"/>
          <w:rtl w:val="0"/>
        </w:rPr>
        <w:t xml:space="preserve">(could work for either!)</w:t>
      </w:r>
      <w:r w:rsidDel="00000000" w:rsidR="00000000" w:rsidRPr="00000000">
        <w:rPr>
          <w:rtl w:val="0"/>
        </w:rPr>
      </w:r>
    </w:p>
    <w:p w:rsidR="00000000" w:rsidDel="00000000" w:rsidP="00000000" w:rsidRDefault="00000000" w:rsidRPr="00000000" w14:paraId="00000016">
      <w:pPr>
        <w:numPr>
          <w:ilvl w:val="0"/>
          <w:numId w:val="10"/>
        </w:numPr>
        <w:ind w:left="720" w:hanging="360"/>
        <w:rPr/>
      </w:pPr>
      <w:r w:rsidDel="00000000" w:rsidR="00000000" w:rsidRPr="00000000">
        <w:rPr>
          <w:b w:val="1"/>
          <w:rtl w:val="0"/>
        </w:rPr>
        <w:t xml:space="preserve">How does this case study and molecular visualization fit into the course curriculum?</w:t>
      </w:r>
      <w:r w:rsidDel="00000000" w:rsidR="00000000" w:rsidRPr="00000000">
        <w:rPr>
          <w:rtl w:val="0"/>
        </w:rPr>
        <w:t xml:space="preserve"> </w:t>
      </w:r>
      <w:r w:rsidDel="00000000" w:rsidR="00000000" w:rsidRPr="00000000">
        <w:rPr>
          <w:color w:val="000000"/>
          <w:rtl w:val="0"/>
        </w:rPr>
        <w:t xml:space="preserve">This case is designed to connect content from molecular biology and very basic biochemistry from the introductory biology level (focusing on central dogma and form-function relationships) to some key concepts about antibiotic resistance commonly taught in microbiology. Concepts of microevolution, such as antibiotic resistance, are often showcased at the genetic level and perhaps schematically at the cellular/organismal level as phenotypes, but not fully visualized or conceptualized at the molecular machinery level. This case provides an opportunity to connect the molecular and biochemical level to the phenotypic level in a microbiology course context.</w:t>
      </w: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ind w:firstLine="450"/>
        <w:rPr>
          <w:b w:val="1"/>
        </w:rPr>
      </w:pPr>
      <w:r w:rsidDel="00000000" w:rsidR="00000000" w:rsidRPr="00000000">
        <w:rPr>
          <w:b w:val="1"/>
          <w:rtl w:val="0"/>
        </w:rPr>
        <w:t xml:space="preserve">4. </w:t>
      </w:r>
      <w:r w:rsidDel="00000000" w:rsidR="00000000" w:rsidRPr="00000000">
        <w:rPr>
          <w:b w:val="1"/>
          <w:u w:val="single"/>
          <w:rtl w:val="0"/>
        </w:rPr>
        <w:t xml:space="preserve">Societal Relevance</w:t>
      </w:r>
      <w:r w:rsidDel="00000000" w:rsidR="00000000" w:rsidRPr="00000000">
        <w:rPr>
          <w:b w:val="1"/>
          <w:rtl w:val="0"/>
        </w:rPr>
        <w:t xml:space="preserve">:</w:t>
      </w:r>
    </w:p>
    <w:p w:rsidR="00000000" w:rsidDel="00000000" w:rsidP="00000000" w:rsidRDefault="00000000" w:rsidRPr="00000000" w14:paraId="00000019">
      <w:pPr>
        <w:ind w:firstLine="450"/>
        <w:rPr>
          <w:i w:val="1"/>
        </w:rPr>
      </w:pPr>
      <w:r w:rsidDel="00000000" w:rsidR="00000000" w:rsidRPr="00000000">
        <w:rPr>
          <w:rtl w:val="0"/>
        </w:rPr>
        <w:t xml:space="preserve">This case focuses on one example of a broader issue in environmental and biomedical science – the rise of antibiotic-resistant microbes. It can be geared towards specific types of antibiotic-resistant pathogens underlying specific respiratory illness, STIs, or other illnesses with particular social, racial, or environmental justice implications.</w:t>
      </w: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rtl w:val="0"/>
        </w:rPr>
      </w:r>
    </w:p>
    <w:p w:rsidR="00000000" w:rsidDel="00000000" w:rsidP="00000000" w:rsidRDefault="00000000" w:rsidRPr="00000000" w14:paraId="0000001B">
      <w:pPr>
        <w:pStyle w:val="Heading1"/>
        <w:numPr>
          <w:ilvl w:val="0"/>
          <w:numId w:val="12"/>
        </w:numPr>
        <w:ind w:left="720" w:hanging="360"/>
        <w:rPr/>
      </w:pPr>
      <w:bookmarkStart w:colFirst="0" w:colLast="0" w:name="_heading=h.gr8mqh1vv2c8" w:id="2"/>
      <w:bookmarkEnd w:id="2"/>
      <w:r w:rsidDel="00000000" w:rsidR="00000000" w:rsidRPr="00000000">
        <w:rPr>
          <w:rtl w:val="0"/>
        </w:rPr>
        <w:t xml:space="preserve"> LEARNING GOALS </w:t>
      </w:r>
    </w:p>
    <w:p w:rsidR="00000000" w:rsidDel="00000000" w:rsidP="00000000" w:rsidRDefault="00000000" w:rsidRPr="00000000" w14:paraId="0000001C">
      <w:pPr>
        <w:rPr>
          <w:i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*A1. Main biology-related learning goals (1–3 major goals) related to: </w:t>
      </w:r>
      <w:r w:rsidDel="00000000" w:rsidR="00000000" w:rsidRPr="00000000">
        <w:rPr>
          <w:rtl w:val="0"/>
        </w:rPr>
        <w:t xml:space="preserve">refer to the </w:t>
      </w:r>
      <w:hyperlink r:id="rId7">
        <w:r w:rsidDel="00000000" w:rsidR="00000000" w:rsidRPr="00000000">
          <w:rPr>
            <w:color w:val="1155cc"/>
            <w:u w:val="single"/>
            <w:rtl w:val="0"/>
          </w:rPr>
          <w:t xml:space="preserve">ASBMB Foundational concepts</w:t>
        </w:r>
      </w:hyperlink>
      <w:r w:rsidDel="00000000" w:rsidR="00000000" w:rsidRPr="00000000">
        <w:rPr>
          <w:rtl w:val="0"/>
        </w:rPr>
        <w:t xml:space="preserve"> and </w:t>
      </w:r>
      <w:hyperlink r:id="rId8">
        <w:r w:rsidDel="00000000" w:rsidR="00000000" w:rsidRPr="00000000">
          <w:rPr>
            <w:color w:val="1155cc"/>
            <w:u w:val="single"/>
            <w:rtl w:val="0"/>
          </w:rPr>
          <w:t xml:space="preserve">Biocore Guide</w:t>
        </w:r>
      </w:hyperlink>
      <w:r w:rsidDel="00000000" w:rsidR="00000000" w:rsidRPr="00000000">
        <w:rPr>
          <w:rtl w:val="0"/>
        </w:rPr>
        <w:t xml:space="preserve"> </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ASBMB; Structure and Function; 2. Structure is determined by several factors; Students should be able to compare and contrast the ways in which a particular macromolecule might take on new functions through evolutionary changes.</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ASBMB; Structure and Function; 4. Macromolecular interactions; Students should be able to discuss the impact of specificity or affinity changes on biological function and any potential evolutionary impact.</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ASBMB; Information storage and transfer; 2. Information in the gene; Students should be able to explain the central dogma of biology and relate the commonality of the process to all of life.</w:t>
      </w:r>
    </w:p>
    <w:p w:rsidR="00000000" w:rsidDel="00000000" w:rsidP="00000000" w:rsidRDefault="00000000" w:rsidRPr="00000000" w14:paraId="00000021">
      <w:pPr>
        <w:rPr>
          <w:b w:val="1"/>
        </w:rPr>
      </w:pPr>
      <w:r w:rsidDel="00000000" w:rsidR="00000000" w:rsidRPr="00000000">
        <w:rPr>
          <w:b w:val="1"/>
          <w:rtl w:val="0"/>
        </w:rPr>
        <w:t xml:space="preserve">*A2. Main chemistry-related learning goals (1–3 major goals): </w:t>
      </w:r>
      <w:r w:rsidDel="00000000" w:rsidR="00000000" w:rsidRPr="00000000">
        <w:rPr>
          <w:rtl w:val="0"/>
        </w:rPr>
        <w:t xml:space="preserve">refer to the </w:t>
      </w:r>
      <w:hyperlink r:id="rId9">
        <w:r w:rsidDel="00000000" w:rsidR="00000000" w:rsidRPr="00000000">
          <w:rPr>
            <w:color w:val="1155cc"/>
            <w:u w:val="single"/>
            <w:rtl w:val="0"/>
          </w:rPr>
          <w:t xml:space="preserve">Macromolecular, Supramolecular, and Nanoscale (MSN) Systems in the Curriculum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none</w:t>
      </w:r>
    </w:p>
    <w:p w:rsidR="00000000" w:rsidDel="00000000" w:rsidP="00000000" w:rsidRDefault="00000000" w:rsidRPr="00000000" w14:paraId="00000023">
      <w:pPr>
        <w:rPr/>
      </w:pPr>
      <w:r w:rsidDel="00000000" w:rsidR="00000000" w:rsidRPr="00000000">
        <w:rPr>
          <w:b w:val="1"/>
          <w:rtl w:val="0"/>
        </w:rPr>
        <w:t xml:space="preserve">*A3. Molecular Modeling/Visualization Learning Goals</w:t>
      </w:r>
      <w:r w:rsidDel="00000000" w:rsidR="00000000" w:rsidRPr="00000000">
        <w:rPr>
          <w:rtl w:val="0"/>
        </w:rPr>
        <w:t xml:space="preserve">: refer to the </w:t>
      </w:r>
      <w:hyperlink r:id="rId10">
        <w:r w:rsidDel="00000000" w:rsidR="00000000" w:rsidRPr="00000000">
          <w:rPr>
            <w:color w:val="1155cc"/>
            <w:u w:val="single"/>
            <w:rtl w:val="0"/>
          </w:rPr>
          <w:t xml:space="preserve">BioMolViz Framework</w:t>
        </w:r>
      </w:hyperlink>
      <w:r w:rsidDel="00000000" w:rsidR="00000000" w:rsidRPr="00000000">
        <w:rPr>
          <w:rtl w:val="0"/>
        </w:rPr>
      </w:r>
    </w:p>
    <w:p w:rsidR="00000000" w:rsidDel="00000000" w:rsidP="00000000" w:rsidRDefault="00000000" w:rsidRPr="00000000" w14:paraId="00000024">
      <w:pPr>
        <w:numPr>
          <w:ilvl w:val="0"/>
          <w:numId w:val="9"/>
        </w:numPr>
        <w:ind w:left="720" w:hanging="360"/>
        <w:rPr/>
      </w:pPr>
      <w:r w:rsidDel="00000000" w:rsidR="00000000" w:rsidRPr="00000000">
        <w:rPr>
          <w:rtl w:val="0"/>
        </w:rPr>
        <w:t xml:space="preserve">Learning Goal 1: BioMolViz LM1.01 Students can use the annotation associated with a pdb file to identify and locate ligands and modified building blocks in a given biomolecule. (Amateur)</w:t>
      </w:r>
    </w:p>
    <w:p w:rsidR="00000000" w:rsidDel="00000000" w:rsidP="00000000" w:rsidRDefault="00000000" w:rsidRPr="00000000" w14:paraId="00000025">
      <w:pPr>
        <w:numPr>
          <w:ilvl w:val="0"/>
          <w:numId w:val="9"/>
        </w:numPr>
        <w:ind w:left="720" w:hanging="360"/>
        <w:rPr/>
      </w:pPr>
      <w:r w:rsidDel="00000000" w:rsidR="00000000" w:rsidRPr="00000000">
        <w:rPr>
          <w:rtl w:val="0"/>
        </w:rPr>
        <w:t xml:space="preserve">Learning Goal 2: BioMolViz; SF1.02 Students recognize that the size and shape of the ligand must match the size and shape of the binding site. (Novice, Amateur)</w:t>
      </w:r>
    </w:p>
    <w:p w:rsidR="00000000" w:rsidDel="00000000" w:rsidP="00000000" w:rsidRDefault="00000000" w:rsidRPr="00000000" w14:paraId="00000026">
      <w:pPr>
        <w:rPr/>
      </w:pPr>
      <w:r w:rsidDel="00000000" w:rsidR="00000000" w:rsidRPr="00000000">
        <w:rPr>
          <w:b w:val="1"/>
          <w:rtl w:val="0"/>
        </w:rPr>
        <w:t xml:space="preserve">*A4. Bioinformatics Learning Goals and Skills used in the case</w:t>
      </w:r>
      <w:r w:rsidDel="00000000" w:rsidR="00000000" w:rsidRPr="00000000">
        <w:rPr>
          <w:rtl w:val="0"/>
        </w:rPr>
        <w:t xml:space="preserve">: refer to </w:t>
      </w:r>
      <w:hyperlink r:id="rId11">
        <w:r w:rsidDel="00000000" w:rsidR="00000000" w:rsidRPr="00000000">
          <w:rPr>
            <w:color w:val="1155cc"/>
            <w:u w:val="single"/>
            <w:rtl w:val="0"/>
          </w:rPr>
          <w:t xml:space="preserve">NIBLSE Bioinformatics Core Competencies</w:t>
        </w:r>
      </w:hyperlink>
      <w:r w:rsidDel="00000000" w:rsidR="00000000" w:rsidRPr="00000000">
        <w:rPr>
          <w:rtl w:val="0"/>
        </w:rPr>
      </w:r>
    </w:p>
    <w:p w:rsidR="00000000" w:rsidDel="00000000" w:rsidP="00000000" w:rsidRDefault="00000000" w:rsidRPr="00000000" w14:paraId="00000027">
      <w:pPr>
        <w:numPr>
          <w:ilvl w:val="0"/>
          <w:numId w:val="5"/>
        </w:numPr>
        <w:ind w:left="720" w:hanging="360"/>
        <w:rPr/>
      </w:pPr>
      <w:r w:rsidDel="00000000" w:rsidR="00000000" w:rsidRPr="00000000">
        <w:rPr>
          <w:rtl w:val="0"/>
        </w:rPr>
        <w:t xml:space="preserve">Learning Goal/Skill 1: NIBLSE; C5. Retrieve data from protein and genome databases (e.g., PDB, UniProt, NCBI).</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numPr>
          <w:ilvl w:val="0"/>
          <w:numId w:val="12"/>
        </w:numPr>
        <w:ind w:left="720" w:hanging="360"/>
        <w:rPr/>
      </w:pPr>
      <w:bookmarkStart w:colFirst="0" w:colLast="0" w:name="_heading=h.ixjhecma4odb" w:id="3"/>
      <w:bookmarkEnd w:id="3"/>
      <w:r w:rsidDel="00000000" w:rsidR="00000000" w:rsidRPr="00000000">
        <w:rPr>
          <w:rtl w:val="0"/>
        </w:rPr>
        <w:t xml:space="preserve">BACKGROUND MATERIALS </w:t>
      </w:r>
    </w:p>
    <w:p w:rsidR="00000000" w:rsidDel="00000000" w:rsidP="00000000" w:rsidRDefault="00000000" w:rsidRPr="00000000" w14:paraId="0000002A">
      <w:pPr>
        <w:rPr/>
      </w:pPr>
      <w:r w:rsidDel="00000000" w:rsidR="00000000" w:rsidRPr="00000000">
        <w:rPr>
          <w:i w:val="1"/>
          <w:rtl w:val="0"/>
        </w:rPr>
        <w:t xml:space="preserve">This section lists all discipline specific background materials included in the MCS to learn about key concepts and vocabulary needed to complete the case study.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Type of Background Material</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Link to the Material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Review article(s)</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Book Chapter(s)</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Video(s) or other educational resource(s)</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bookmarkStart w:colFirst="0" w:colLast="0" w:name="_heading=h.9hykmvpxf7f0" w:id="4"/>
            <w:bookmarkEnd w:id="4"/>
            <w:r w:rsidDel="00000000" w:rsidR="00000000" w:rsidRPr="00000000">
              <w:rPr>
                <w:rtl w:val="0"/>
              </w:rPr>
              <w:t xml:space="preserve">Video on antimicrobial resistance from UNEP: </w:t>
            </w:r>
            <w:hyperlink r:id="rId12">
              <w:r w:rsidDel="00000000" w:rsidR="00000000" w:rsidRPr="00000000">
                <w:rPr>
                  <w:color w:val="0000ff"/>
                  <w:u w:val="single"/>
                  <w:rtl w:val="0"/>
                </w:rPr>
                <w:t xml:space="preserve">https://youtu.be/4srU4183p6Y</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pPr>
            <w:r w:rsidDel="00000000" w:rsidR="00000000" w:rsidRPr="00000000">
              <w:rPr>
                <w:rtl w:val="0"/>
              </w:rPr>
              <w:t xml:space="preserve">Reliable web-site(s) </w:t>
            </w:r>
          </w:p>
        </w:tc>
        <w:tc>
          <w:tcPr>
            <w:shd w:fill="auto" w:val="clear"/>
            <w:tcMar>
              <w:top w:w="100.0" w:type="dxa"/>
              <w:left w:w="100.0" w:type="dxa"/>
              <w:bottom w:w="100.0" w:type="dxa"/>
              <w:right w:w="100.0" w:type="dxa"/>
            </w:tcMar>
          </w:tcPr>
          <w:p w:rsidR="00000000" w:rsidDel="00000000" w:rsidP="00000000" w:rsidRDefault="00000000" w:rsidRPr="00000000" w14:paraId="00000034">
            <w:pPr>
              <w:rPr/>
            </w:pPr>
            <w:r w:rsidDel="00000000" w:rsidR="00000000" w:rsidRPr="00000000">
              <w:rPr>
                <w:rtl w:val="0"/>
              </w:rPr>
              <w:t xml:space="preserve">Website about antibiotics &amp; resistance: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4" w:right="0" w:hanging="360"/>
              <w:jc w:val="left"/>
              <w:rPr/>
            </w:pPr>
            <w:hyperlink r:id="rId1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https://www.reactgroup.org/toolbox/understand/antibiotics/how-do-antibiotics-work/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4" w:right="0" w:hanging="360"/>
              <w:jc w:val="left"/>
              <w:rPr/>
            </w:pP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https://www.reactgroup.org/toolbox/understand/antibiotic-resistance/mutation-and-selection/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pPr>
            <w:hyperlink r:id="rId1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https://www.reactgroup.org/toolbox/understand/antibiotic-resistance/resistance-mechanisms-in-bacteria/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color w:val="000000"/>
                <w:rtl w:val="0"/>
              </w:rPr>
              <w:t xml:space="preserve">Other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color w:val="000000"/>
                <w:rtl w:val="0"/>
              </w:rPr>
              <w:t xml:space="preserve">CDC page on Drug-Resistant Gonorrhea (</w:t>
            </w:r>
            <w:hyperlink r:id="rId16">
              <w:r w:rsidDel="00000000" w:rsidR="00000000" w:rsidRPr="00000000">
                <w:rPr>
                  <w:color w:val="0000ff"/>
                  <w:u w:val="single"/>
                  <w:rtl w:val="0"/>
                </w:rPr>
                <w:t xml:space="preserve">https://www.cdc.gov/gonorrhea/hcp/drug-resistant/index.html</w:t>
              </w:r>
            </w:hyperlink>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pStyle w:val="Heading1"/>
        <w:numPr>
          <w:ilvl w:val="0"/>
          <w:numId w:val="12"/>
        </w:numPr>
        <w:ind w:left="720" w:hanging="360"/>
        <w:rPr/>
      </w:pPr>
      <w:bookmarkStart w:colFirst="0" w:colLast="0" w:name="_heading=h.rtupxwy9e37k" w:id="5"/>
      <w:bookmarkEnd w:id="5"/>
      <w:r w:rsidDel="00000000" w:rsidR="00000000" w:rsidRPr="00000000">
        <w:rPr>
          <w:rtl w:val="0"/>
        </w:rPr>
        <w:t xml:space="preserve">BIOINFORMATICS RESOURCES AND TOOLS USED</w:t>
      </w:r>
    </w:p>
    <w:p w:rsidR="00000000" w:rsidDel="00000000" w:rsidP="00000000" w:rsidRDefault="00000000" w:rsidRPr="00000000" w14:paraId="0000003C">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2190"/>
        <w:gridCol w:w="4515"/>
        <w:tblGridChange w:id="0">
          <w:tblGrid>
            <w:gridCol w:w="2655"/>
            <w:gridCol w:w="2190"/>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Bioinformatics Resource</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Used (mark with x)</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Task accomplished in the MCS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UniProt</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learn about domains, access protein sequences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pPr>
            <w:r w:rsidDel="00000000" w:rsidR="00000000" w:rsidRPr="00000000">
              <w:rPr>
                <w:rtl w:val="0"/>
              </w:rPr>
              <w:t xml:space="preserve">KEGG</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pPr>
            <w:r w:rsidDel="00000000" w:rsidR="00000000" w:rsidRPr="00000000">
              <w:rPr>
                <w:rtl w:val="0"/>
              </w:rPr>
              <w:t xml:space="preserve">Binding DB</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t xml:space="preserve">DrugBank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pPr>
            <w:r w:rsidDel="00000000" w:rsidR="00000000" w:rsidRPr="00000000">
              <w:rPr>
                <w:rtl w:val="0"/>
              </w:rPr>
              <w:t xml:space="preserve">Gene Ontology</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pPr>
            <w:r w:rsidDel="00000000" w:rsidR="00000000" w:rsidRPr="00000000">
              <w:rPr>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945"/>
        <w:gridCol w:w="4740"/>
        <w:tblGridChange w:id="0">
          <w:tblGrid>
            <w:gridCol w:w="3675"/>
            <w:gridCol w:w="945"/>
            <w:gridCol w:w="4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Name of Bioinformatics or Molecular Visualization Tool</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Used</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Task accomplished in the MCS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pPr>
            <w:r w:rsidDel="00000000" w:rsidR="00000000" w:rsidRPr="00000000">
              <w:rPr>
                <w:rtl w:val="0"/>
              </w:rPr>
              <w:t xml:space="preserve">BLAST</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pPr>
            <w:r w:rsidDel="00000000" w:rsidR="00000000" w:rsidRPr="00000000">
              <w:rPr>
                <w:rtl w:val="0"/>
              </w:rPr>
              <w:t xml:space="preserve">Compare the sequences of two penicillin binding proteins (PBPs) to identify areas of identity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pPr>
            <w:r w:rsidDel="00000000" w:rsidR="00000000" w:rsidRPr="00000000">
              <w:rPr>
                <w:rtl w:val="0"/>
              </w:rPr>
              <w:t xml:space="preserve">CLUSTALW</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color w:val="000000"/>
              </w:rPr>
            </w:pPr>
            <w:r w:rsidDel="00000000" w:rsidR="00000000" w:rsidRPr="00000000">
              <w:rPr>
                <w:color w:val="000000"/>
                <w:rtl w:val="0"/>
              </w:rPr>
              <w:t xml:space="preserve">Pairwise Structure Alignment tool</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b w:val="1"/>
                <w:color w:val="000000"/>
              </w:rPr>
            </w:pPr>
            <w:r w:rsidDel="00000000" w:rsidR="00000000" w:rsidRPr="00000000">
              <w:rPr>
                <w:color w:val="000000"/>
                <w:rtl w:val="0"/>
              </w:rPr>
              <w:t xml:space="preserve">Compare the 3D structures of two penicillin binding proteins (PBPs) with or without ligands to identify areas of overlap, visualize changes in conformation, and see differences in intermolecular interactions (with ligands)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pPr>
            <w:r w:rsidDel="00000000" w:rsidR="00000000" w:rsidRPr="00000000">
              <w:rPr>
                <w:rtl w:val="0"/>
              </w:rPr>
              <w:t xml:space="preserve">Mol*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pPr>
            <w:r w:rsidDel="00000000" w:rsidR="00000000" w:rsidRPr="00000000">
              <w:rPr>
                <w:rtl w:val="0"/>
              </w:rPr>
              <w:t xml:space="preserve">Visualize 3D structures available in the PDB and examine their interactions with co-crystallized ligands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rtl w:val="0"/>
              </w:rPr>
              <w:t xml:space="preserve">iCn3D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pPr>
            <w:r w:rsidDel="00000000" w:rsidR="00000000" w:rsidRPr="00000000">
              <w:rPr>
                <w:rtl w:val="0"/>
              </w:rPr>
              <w:t xml:space="preserve">PyMol </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pPr>
            <w:r w:rsidDel="00000000" w:rsidR="00000000" w:rsidRPr="00000000">
              <w:rPr>
                <w:rtl w:val="0"/>
              </w:rPr>
              <w:t xml:space="preserve">UCSF Chimera</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pPr>
            <w:r w:rsidDel="00000000" w:rsidR="00000000" w:rsidRPr="00000000">
              <w:rPr>
                <w:rtl w:val="0"/>
              </w:rPr>
              <w:t xml:space="preserve">JSmol</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1"/>
        <w:numPr>
          <w:ilvl w:val="0"/>
          <w:numId w:val="12"/>
        </w:numPr>
        <w:ind w:left="720" w:hanging="360"/>
        <w:rPr/>
      </w:pPr>
      <w:bookmarkStart w:colFirst="0" w:colLast="0" w:name="_heading=h.zerx29rsmroa" w:id="6"/>
      <w:bookmarkEnd w:id="6"/>
      <w:r w:rsidDel="00000000" w:rsidR="00000000" w:rsidRPr="00000000">
        <w:rPr>
          <w:rtl w:val="0"/>
        </w:rPr>
        <w:t xml:space="preserve">SUGGESTED IMPLEMENTATION </w:t>
      </w:r>
    </w:p>
    <w:p w:rsidR="00000000" w:rsidDel="00000000" w:rsidP="00000000" w:rsidRDefault="00000000" w:rsidRPr="00000000" w14:paraId="00000074">
      <w:pPr>
        <w:rPr>
          <w:color w:val="000000"/>
        </w:rPr>
      </w:pPr>
      <w:r w:rsidDel="00000000" w:rsidR="00000000" w:rsidRPr="00000000">
        <w:rPr>
          <w:i w:val="1"/>
          <w:color w:val="000000"/>
          <w:rtl w:val="0"/>
        </w:rPr>
        <w:t xml:space="preserve">This section can help teachers select, prepare, and implement the case study. </w:t>
      </w:r>
      <w:r w:rsidDel="00000000" w:rsidR="00000000" w:rsidRPr="00000000">
        <w:rPr>
          <w:rtl w:val="0"/>
        </w:rPr>
      </w:r>
    </w:p>
    <w:p w:rsidR="00000000" w:rsidDel="00000000" w:rsidP="00000000" w:rsidRDefault="00000000" w:rsidRPr="00000000" w14:paraId="00000075">
      <w:pPr>
        <w:rPr>
          <w:i w:val="1"/>
          <w:color w:val="000000"/>
        </w:rPr>
      </w:pPr>
      <w:r w:rsidDel="00000000" w:rsidR="00000000" w:rsidRPr="00000000">
        <w:rPr>
          <w:b w:val="1"/>
          <w:color w:val="000000"/>
          <w:rtl w:val="0"/>
        </w:rPr>
        <w:t xml:space="preserve">D1. Prerequisites (if any) –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Familiarity with the concept of evolution by natural selection of heritable traits</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Familiarity with the central dogma, focusing on protein structure being determined by DNA sequence encoding amino acid sequence</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familiarity with structural biology necessary – this is supposed to be very basic and assumes no experience with databases or visualization of structures)</w:t>
      </w:r>
    </w:p>
    <w:p w:rsidR="00000000" w:rsidDel="00000000" w:rsidP="00000000" w:rsidRDefault="00000000" w:rsidRPr="00000000" w14:paraId="00000079">
      <w:pPr>
        <w:rPr>
          <w:color w:val="000000"/>
        </w:rPr>
      </w:pPr>
      <w:r w:rsidDel="00000000" w:rsidR="00000000" w:rsidRPr="00000000">
        <w:rPr>
          <w:b w:val="1"/>
          <w:color w:val="000000"/>
          <w:rtl w:val="0"/>
        </w:rPr>
        <w:t xml:space="preserve">D2.a. Suggested Instructor Preparation</w:t>
      </w:r>
      <w:r w:rsidDel="00000000" w:rsidR="00000000" w:rsidRPr="00000000">
        <w:rPr>
          <w:color w:val="000000"/>
          <w:rtl w:val="0"/>
        </w:rPr>
        <w:t xml:space="preserve"> - </w:t>
      </w:r>
    </w:p>
    <w:p w:rsidR="00000000" w:rsidDel="00000000" w:rsidP="00000000" w:rsidRDefault="00000000" w:rsidRPr="00000000" w14:paraId="0000007A">
      <w:pPr>
        <w:numPr>
          <w:ilvl w:val="0"/>
          <w:numId w:val="6"/>
        </w:numPr>
        <w:ind w:left="720" w:hanging="360"/>
        <w:rPr>
          <w:color w:val="000000"/>
        </w:rPr>
      </w:pPr>
      <w:r w:rsidDel="00000000" w:rsidR="00000000" w:rsidRPr="00000000">
        <w:rPr>
          <w:color w:val="000000"/>
          <w:rtl w:val="0"/>
        </w:rPr>
        <w:t xml:space="preserve">Instructor preparation Step 1: </w:t>
      </w:r>
    </w:p>
    <w:p w:rsidR="00000000" w:rsidDel="00000000" w:rsidP="00000000" w:rsidRDefault="00000000" w:rsidRPr="00000000" w14:paraId="0000007B">
      <w:pPr>
        <w:numPr>
          <w:ilvl w:val="1"/>
          <w:numId w:val="6"/>
        </w:numPr>
        <w:ind w:left="1440" w:hanging="360"/>
        <w:rPr>
          <w:color w:val="000000"/>
        </w:rPr>
      </w:pPr>
      <w:r w:rsidDel="00000000" w:rsidR="00000000" w:rsidRPr="00000000">
        <w:rPr>
          <w:color w:val="000000"/>
          <w:rtl w:val="0"/>
        </w:rPr>
        <w:t xml:space="preserve">Recommended: Background teaching slides about bacterial cell walls, penicillin-binding protein transpeptidase function, beta-lactam structure similarities to the normal substrate of the transpeptidase enzyme</w:t>
      </w:r>
    </w:p>
    <w:p w:rsidR="00000000" w:rsidDel="00000000" w:rsidP="00000000" w:rsidRDefault="00000000" w:rsidRPr="00000000" w14:paraId="0000007C">
      <w:pPr>
        <w:numPr>
          <w:ilvl w:val="0"/>
          <w:numId w:val="6"/>
        </w:numPr>
        <w:ind w:left="720" w:hanging="360"/>
        <w:rPr>
          <w:color w:val="000000"/>
        </w:rPr>
      </w:pPr>
      <w:r w:rsidDel="00000000" w:rsidR="00000000" w:rsidRPr="00000000">
        <w:rPr>
          <w:color w:val="000000"/>
          <w:rtl w:val="0"/>
        </w:rPr>
        <w:t xml:space="preserve">Instructor preparation Step 2: </w:t>
      </w:r>
    </w:p>
    <w:p w:rsidR="00000000" w:rsidDel="00000000" w:rsidP="00000000" w:rsidRDefault="00000000" w:rsidRPr="00000000" w14:paraId="0000007D">
      <w:pPr>
        <w:numPr>
          <w:ilvl w:val="1"/>
          <w:numId w:val="6"/>
        </w:numPr>
        <w:ind w:left="1440" w:hanging="360"/>
        <w:rPr>
          <w:color w:val="000000"/>
        </w:rPr>
      </w:pPr>
      <w:r w:rsidDel="00000000" w:rsidR="00000000" w:rsidRPr="00000000">
        <w:rPr>
          <w:color w:val="000000"/>
          <w:rtl w:val="0"/>
        </w:rPr>
        <w:t xml:space="preserve">OPTIONAL: Teaching/discussion slides about disease burden, public health implications, etc. of this particular disease and/or antibiotic resistance in general</w:t>
      </w:r>
    </w:p>
    <w:p w:rsidR="00000000" w:rsidDel="00000000" w:rsidP="00000000" w:rsidRDefault="00000000" w:rsidRPr="00000000" w14:paraId="0000007E">
      <w:pPr>
        <w:rPr>
          <w:color w:val="000000"/>
        </w:rPr>
      </w:pPr>
      <w:r w:rsidDel="00000000" w:rsidR="00000000" w:rsidRPr="00000000">
        <w:rPr>
          <w:b w:val="1"/>
          <w:color w:val="000000"/>
          <w:rtl w:val="0"/>
        </w:rPr>
        <w:t xml:space="preserve">D2.b. Suggested time for instructor preparations</w:t>
      </w:r>
      <w:r w:rsidDel="00000000" w:rsidR="00000000" w:rsidRPr="00000000">
        <w:rPr>
          <w:color w:val="000000"/>
          <w:rtl w:val="0"/>
        </w:rPr>
        <w:t xml:space="preserve">: 3 hours (1 hour to walk through exercises and familiarize yourself with Mol* on the RCSB website, 1 hour to look at reference literature, 1 hour to customize to your class)</w:t>
      </w:r>
    </w:p>
    <w:p w:rsidR="00000000" w:rsidDel="00000000" w:rsidP="00000000" w:rsidRDefault="00000000" w:rsidRPr="00000000" w14:paraId="0000007F">
      <w:pPr>
        <w:rPr>
          <w:color w:val="000000"/>
        </w:rPr>
      </w:pPr>
      <w:r w:rsidDel="00000000" w:rsidR="00000000" w:rsidRPr="00000000">
        <w:rPr>
          <w:b w:val="1"/>
          <w:color w:val="000000"/>
          <w:rtl w:val="0"/>
        </w:rPr>
        <w:t xml:space="preserve">D3.a. Suggested Student Preparation </w:t>
      </w:r>
      <w:r w:rsidDel="00000000" w:rsidR="00000000" w:rsidRPr="00000000">
        <w:rPr>
          <w:color w:val="000000"/>
          <w:rtl w:val="0"/>
        </w:rPr>
        <w:t xml:space="preserve">- </w:t>
      </w:r>
    </w:p>
    <w:p w:rsidR="00000000" w:rsidDel="00000000" w:rsidP="00000000" w:rsidRDefault="00000000" w:rsidRPr="00000000" w14:paraId="00000080">
      <w:pPr>
        <w:numPr>
          <w:ilvl w:val="0"/>
          <w:numId w:val="6"/>
        </w:numPr>
        <w:ind w:left="720" w:hanging="360"/>
        <w:rPr>
          <w:color w:val="000000"/>
        </w:rPr>
      </w:pPr>
      <w:r w:rsidDel="00000000" w:rsidR="00000000" w:rsidRPr="00000000">
        <w:rPr>
          <w:color w:val="000000"/>
          <w:rtl w:val="0"/>
        </w:rPr>
        <w:t xml:space="preserve">Student preparation Step 1: read about antibiotics, their targets, and mechanisms of resistance (homework readings)</w:t>
      </w:r>
    </w:p>
    <w:p w:rsidR="00000000" w:rsidDel="00000000" w:rsidP="00000000" w:rsidRDefault="00000000" w:rsidRPr="00000000" w14:paraId="00000081">
      <w:pPr>
        <w:numPr>
          <w:ilvl w:val="0"/>
          <w:numId w:val="6"/>
        </w:numPr>
        <w:ind w:left="720" w:hanging="360"/>
        <w:rPr>
          <w:color w:val="000000"/>
        </w:rPr>
      </w:pPr>
      <w:r w:rsidDel="00000000" w:rsidR="00000000" w:rsidRPr="00000000">
        <w:rPr>
          <w:color w:val="000000"/>
          <w:rtl w:val="0"/>
        </w:rPr>
        <w:t xml:space="preserve">Student preparation Step 2: review the central dogma of molecular biology and recognize that the shape of a protein is determined by its primary structure, which is encoded by genes</w:t>
      </w:r>
    </w:p>
    <w:p w:rsidR="00000000" w:rsidDel="00000000" w:rsidP="00000000" w:rsidRDefault="00000000" w:rsidRPr="00000000" w14:paraId="00000082">
      <w:pPr>
        <w:rPr>
          <w:color w:val="000000"/>
        </w:rPr>
      </w:pPr>
      <w:r w:rsidDel="00000000" w:rsidR="00000000" w:rsidRPr="00000000">
        <w:rPr>
          <w:b w:val="1"/>
          <w:color w:val="000000"/>
          <w:rtl w:val="0"/>
        </w:rPr>
        <w:t xml:space="preserve">D3.b. Suggested time for student preparation</w:t>
      </w:r>
      <w:r w:rsidDel="00000000" w:rsidR="00000000" w:rsidRPr="00000000">
        <w:rPr>
          <w:color w:val="000000"/>
          <w:rtl w:val="0"/>
        </w:rPr>
        <w:t xml:space="preserve">: &lt;1 hr to read/review the above concepts</w:t>
      </w:r>
    </w:p>
    <w:p w:rsidR="00000000" w:rsidDel="00000000" w:rsidP="00000000" w:rsidRDefault="00000000" w:rsidRPr="00000000" w14:paraId="00000083">
      <w:pPr>
        <w:rPr>
          <w:b w:val="1"/>
          <w:color w:val="000000"/>
        </w:rPr>
      </w:pPr>
      <w:r w:rsidDel="00000000" w:rsidR="00000000" w:rsidRPr="00000000">
        <w:rPr>
          <w:b w:val="1"/>
          <w:color w:val="000000"/>
          <w:rtl w:val="0"/>
        </w:rPr>
        <w:t xml:space="preserve">D4. Suggested implementation details</w:t>
      </w:r>
    </w:p>
    <w:p w:rsidR="00000000" w:rsidDel="00000000" w:rsidP="00000000" w:rsidRDefault="00000000" w:rsidRPr="00000000" w14:paraId="00000084">
      <w:pPr>
        <w:numPr>
          <w:ilvl w:val="0"/>
          <w:numId w:val="6"/>
        </w:numPr>
        <w:ind w:left="720" w:hanging="360"/>
        <w:rPr/>
      </w:pPr>
      <w:r w:rsidDel="00000000" w:rsidR="00000000" w:rsidRPr="00000000">
        <w:rPr>
          <w:rtl w:val="0"/>
        </w:rPr>
        <w:t xml:space="preserve">Resources </w:t>
      </w:r>
    </w:p>
    <w:p w:rsidR="00000000" w:rsidDel="00000000" w:rsidP="00000000" w:rsidRDefault="00000000" w:rsidRPr="00000000" w14:paraId="00000085">
      <w:pPr>
        <w:numPr>
          <w:ilvl w:val="1"/>
          <w:numId w:val="6"/>
        </w:numPr>
        <w:ind w:left="1440" w:hanging="360"/>
        <w:rPr/>
      </w:pPr>
      <w:r w:rsidDel="00000000" w:rsidR="00000000" w:rsidRPr="00000000">
        <w:rPr>
          <w:rtl w:val="0"/>
        </w:rPr>
        <w:t xml:space="preserve">Watch this video from the UN Environment Programme: </w:t>
      </w:r>
      <w:hyperlink r:id="rId17">
        <w:r w:rsidDel="00000000" w:rsidR="00000000" w:rsidRPr="00000000">
          <w:rPr>
            <w:color w:val="0000ff"/>
            <w:u w:val="single"/>
            <w:rtl w:val="0"/>
          </w:rPr>
          <w:t xml:space="preserve">https://youtu.be/4srU4183p6Y</w:t>
        </w:r>
      </w:hyperlink>
      <w:r w:rsidDel="00000000" w:rsidR="00000000" w:rsidRPr="00000000">
        <w:rPr>
          <w:rtl w:val="0"/>
        </w:rPr>
        <w:t xml:space="preserve"> </w:t>
      </w:r>
    </w:p>
    <w:p w:rsidR="00000000" w:rsidDel="00000000" w:rsidP="00000000" w:rsidRDefault="00000000" w:rsidRPr="00000000" w14:paraId="00000086">
      <w:pPr>
        <w:numPr>
          <w:ilvl w:val="1"/>
          <w:numId w:val="6"/>
        </w:numPr>
        <w:ind w:left="1440" w:hanging="360"/>
        <w:rPr/>
      </w:pPr>
      <w:r w:rsidDel="00000000" w:rsidR="00000000" w:rsidRPr="00000000">
        <w:rPr>
          <w:rtl w:val="0"/>
        </w:rPr>
        <w:t xml:space="preserve">Read the following pages on antibiotics and antibiotic resistance in bacteria (compiled into a monograph and provided as a single PDF):</w:t>
      </w:r>
    </w:p>
    <w:p w:rsidR="00000000" w:rsidDel="00000000" w:rsidP="00000000" w:rsidRDefault="00000000" w:rsidRPr="00000000" w14:paraId="00000087">
      <w:pPr>
        <w:numPr>
          <w:ilvl w:val="2"/>
          <w:numId w:val="6"/>
        </w:numPr>
        <w:ind w:left="2160" w:hanging="360"/>
        <w:rPr/>
      </w:pPr>
      <w:r w:rsidDel="00000000" w:rsidR="00000000" w:rsidRPr="00000000">
        <w:rPr>
          <w:rtl w:val="0"/>
        </w:rPr>
        <w:t xml:space="preserve">https://www.reactgroup.org/toolbox/understand/antibiotics/how-do-antibiotics-work/  </w:t>
      </w:r>
    </w:p>
    <w:p w:rsidR="00000000" w:rsidDel="00000000" w:rsidP="00000000" w:rsidRDefault="00000000" w:rsidRPr="00000000" w14:paraId="00000088">
      <w:pPr>
        <w:numPr>
          <w:ilvl w:val="2"/>
          <w:numId w:val="6"/>
        </w:numPr>
        <w:ind w:left="2160" w:hanging="360"/>
        <w:rPr/>
      </w:pPr>
      <w:r w:rsidDel="00000000" w:rsidR="00000000" w:rsidRPr="00000000">
        <w:rPr>
          <w:rtl w:val="0"/>
        </w:rPr>
        <w:t xml:space="preserve">https://www.reactgroup.org/toolbox/understand/antibiotic-resistance/mutation-and-selection/  </w:t>
      </w:r>
    </w:p>
    <w:p w:rsidR="00000000" w:rsidDel="00000000" w:rsidP="00000000" w:rsidRDefault="00000000" w:rsidRPr="00000000" w14:paraId="00000089">
      <w:pPr>
        <w:numPr>
          <w:ilvl w:val="2"/>
          <w:numId w:val="6"/>
        </w:numPr>
        <w:ind w:left="2160" w:hanging="360"/>
        <w:rPr/>
      </w:pPr>
      <w:r w:rsidDel="00000000" w:rsidR="00000000" w:rsidRPr="00000000">
        <w:rPr>
          <w:rtl w:val="0"/>
        </w:rPr>
        <w:t xml:space="preserve">https://www.reactgroup.org/toolbox/understand/antibiotic-resistance/resistance-mechanisms-in-bacteria/Include resources here</w:t>
      </w:r>
    </w:p>
    <w:p w:rsidR="00000000" w:rsidDel="00000000" w:rsidP="00000000" w:rsidRDefault="00000000" w:rsidRPr="00000000" w14:paraId="0000008A">
      <w:pPr>
        <w:numPr>
          <w:ilvl w:val="0"/>
          <w:numId w:val="6"/>
        </w:numPr>
        <w:ind w:left="720" w:hanging="360"/>
        <w:rPr>
          <w:color w:val="000000"/>
        </w:rPr>
      </w:pPr>
      <w:r w:rsidDel="00000000" w:rsidR="00000000" w:rsidRPr="00000000">
        <w:rPr>
          <w:color w:val="000000"/>
          <w:rtl w:val="0"/>
        </w:rPr>
        <w:t xml:space="preserve">Implementation timeline suggestions: </w:t>
      </w:r>
    </w:p>
    <w:p w:rsidR="00000000" w:rsidDel="00000000" w:rsidP="00000000" w:rsidRDefault="00000000" w:rsidRPr="00000000" w14:paraId="0000008B">
      <w:pPr>
        <w:numPr>
          <w:ilvl w:val="1"/>
          <w:numId w:val="6"/>
        </w:numPr>
        <w:ind w:left="1440" w:hanging="360"/>
        <w:rPr>
          <w:color w:val="000000"/>
        </w:rPr>
      </w:pPr>
      <w:r w:rsidDel="00000000" w:rsidR="00000000" w:rsidRPr="00000000">
        <w:rPr>
          <w:color w:val="000000"/>
          <w:rtl w:val="0"/>
        </w:rPr>
        <w:t xml:space="preserve">Time required for students to read/view the case related material prior to start of the molecular case study: 15 min to orient class to the case</w:t>
      </w:r>
    </w:p>
    <w:p w:rsidR="00000000" w:rsidDel="00000000" w:rsidP="00000000" w:rsidRDefault="00000000" w:rsidRPr="00000000" w14:paraId="0000008C">
      <w:pPr>
        <w:numPr>
          <w:ilvl w:val="1"/>
          <w:numId w:val="6"/>
        </w:numPr>
        <w:ind w:left="1440" w:hanging="360"/>
        <w:rPr>
          <w:color w:val="000000"/>
        </w:rPr>
      </w:pPr>
      <w:r w:rsidDel="00000000" w:rsidR="00000000" w:rsidRPr="00000000">
        <w:rPr>
          <w:color w:val="000000"/>
          <w:rtl w:val="0"/>
        </w:rPr>
        <w:t xml:space="preserve">Minimum in-class time required: 3 hours</w:t>
      </w:r>
    </w:p>
    <w:p w:rsidR="00000000" w:rsidDel="00000000" w:rsidP="00000000" w:rsidRDefault="00000000" w:rsidRPr="00000000" w14:paraId="0000008D">
      <w:pPr>
        <w:numPr>
          <w:ilvl w:val="1"/>
          <w:numId w:val="6"/>
        </w:numPr>
        <w:ind w:left="1440" w:hanging="360"/>
        <w:rPr>
          <w:color w:val="000000"/>
        </w:rPr>
      </w:pPr>
      <w:r w:rsidDel="00000000" w:rsidR="00000000" w:rsidRPr="00000000">
        <w:rPr>
          <w:color w:val="000000"/>
          <w:rtl w:val="0"/>
        </w:rPr>
        <w:t xml:space="preserve">Time outside class needed to complete the case: &lt;1 hour (to wrap up if questions not completely answered during in-class activity time)</w:t>
      </w:r>
    </w:p>
    <w:p w:rsidR="00000000" w:rsidDel="00000000" w:rsidP="00000000" w:rsidRDefault="00000000" w:rsidRPr="00000000" w14:paraId="0000008E">
      <w:pPr>
        <w:numPr>
          <w:ilvl w:val="0"/>
          <w:numId w:val="6"/>
        </w:numPr>
        <w:ind w:left="720" w:hanging="360"/>
        <w:rPr/>
      </w:pPr>
      <w:r w:rsidDel="00000000" w:rsidR="00000000" w:rsidRPr="00000000">
        <w:rPr>
          <w:rtl w:val="0"/>
        </w:rPr>
        <w:t xml:space="preserve">If the case study needs to be implemented in multiple sessions, suggest in-class activities for each session: </w:t>
      </w:r>
    </w:p>
    <w:p w:rsidR="00000000" w:rsidDel="00000000" w:rsidP="00000000" w:rsidRDefault="00000000" w:rsidRPr="00000000" w14:paraId="0000008F">
      <w:pPr>
        <w:numPr>
          <w:ilvl w:val="1"/>
          <w:numId w:val="6"/>
        </w:numPr>
        <w:ind w:left="1440" w:hanging="360"/>
        <w:rPr/>
      </w:pPr>
      <w:r w:rsidDel="00000000" w:rsidR="00000000" w:rsidRPr="00000000">
        <w:rPr>
          <w:rtl w:val="0"/>
        </w:rPr>
        <w:t xml:space="preserve">Session 1: Hook; Presentation of Case Context; Part 1: The Structures.</w:t>
      </w:r>
    </w:p>
    <w:p w:rsidR="00000000" w:rsidDel="00000000" w:rsidP="00000000" w:rsidRDefault="00000000" w:rsidRPr="00000000" w14:paraId="00000090">
      <w:pPr>
        <w:numPr>
          <w:ilvl w:val="1"/>
          <w:numId w:val="6"/>
        </w:numPr>
        <w:ind w:left="1440" w:hanging="360"/>
        <w:rPr/>
      </w:pPr>
      <w:r w:rsidDel="00000000" w:rsidR="00000000" w:rsidRPr="00000000">
        <w:rPr>
          <w:rtl w:val="0"/>
        </w:rPr>
        <w:t xml:space="preserve">Session 2: Part 2: The Function; Part 3: Connecting Sequence, Structure, and Function.</w:t>
      </w:r>
    </w:p>
    <w:p w:rsidR="00000000" w:rsidDel="00000000" w:rsidP="00000000" w:rsidRDefault="00000000" w:rsidRPr="00000000" w14:paraId="00000091">
      <w:pPr>
        <w:rPr/>
      </w:pPr>
      <w:r w:rsidDel="00000000" w:rsidR="00000000" w:rsidRPr="00000000">
        <w:rPr>
          <w:b w:val="1"/>
          <w:rtl w:val="0"/>
        </w:rPr>
        <w:t xml:space="preserve">D5. Provide suggestions for how this case study may be used in other courses/settings: </w:t>
      </w:r>
      <w:r w:rsidDel="00000000" w:rsidR="00000000" w:rsidRPr="00000000">
        <w:rPr>
          <w:rtl w:val="0"/>
        </w:rPr>
      </w:r>
    </w:p>
    <w:p w:rsidR="00000000" w:rsidDel="00000000" w:rsidP="00000000" w:rsidRDefault="00000000" w:rsidRPr="00000000" w14:paraId="00000092">
      <w:pPr>
        <w:numPr>
          <w:ilvl w:val="0"/>
          <w:numId w:val="6"/>
        </w:numPr>
        <w:ind w:left="720" w:hanging="360"/>
        <w:rPr/>
      </w:pPr>
      <w:r w:rsidDel="00000000" w:rsidR="00000000" w:rsidRPr="00000000">
        <w:rPr>
          <w:rtl w:val="0"/>
        </w:rPr>
        <w:t xml:space="preserve">Other course/settings 1: Introductory Biology course</w:t>
      </w:r>
    </w:p>
    <w:p w:rsidR="00000000" w:rsidDel="00000000" w:rsidP="00000000" w:rsidRDefault="00000000" w:rsidRPr="00000000" w14:paraId="00000093">
      <w:pPr>
        <w:numPr>
          <w:ilvl w:val="1"/>
          <w:numId w:val="6"/>
        </w:numPr>
        <w:ind w:left="1440" w:hanging="360"/>
        <w:rPr/>
      </w:pPr>
      <w:r w:rsidDel="00000000" w:rsidR="00000000" w:rsidRPr="00000000">
        <w:rPr>
          <w:rtl w:val="0"/>
        </w:rPr>
        <w:t xml:space="preserve">Suggested changes: Could include data showing microbial growth on selective media (data/lab component), could swap out kinetic information to simply show growth curves of bacteria as phenotypic outcome, could use this as an example to illustrate central dogma and structure-function concepts at introductory level</w:t>
      </w:r>
    </w:p>
    <w:p w:rsidR="00000000" w:rsidDel="00000000" w:rsidP="00000000" w:rsidRDefault="00000000" w:rsidRPr="00000000" w14:paraId="00000094">
      <w:pPr>
        <w:numPr>
          <w:ilvl w:val="0"/>
          <w:numId w:val="6"/>
        </w:numPr>
        <w:ind w:left="720" w:hanging="360"/>
        <w:rPr/>
      </w:pPr>
      <w:r w:rsidDel="00000000" w:rsidR="00000000" w:rsidRPr="00000000">
        <w:rPr>
          <w:rtl w:val="0"/>
        </w:rPr>
        <w:t xml:space="preserve">Other course/settings 2: Evolution course</w:t>
      </w:r>
    </w:p>
    <w:p w:rsidR="00000000" w:rsidDel="00000000" w:rsidP="00000000" w:rsidRDefault="00000000" w:rsidRPr="00000000" w14:paraId="00000095">
      <w:pPr>
        <w:numPr>
          <w:ilvl w:val="1"/>
          <w:numId w:val="6"/>
        </w:numPr>
        <w:ind w:left="1440" w:hanging="360"/>
        <w:rPr/>
      </w:pPr>
      <w:r w:rsidDel="00000000" w:rsidR="00000000" w:rsidRPr="00000000">
        <w:rPr>
          <w:rtl w:val="0"/>
        </w:rPr>
        <w:t xml:space="preserve">Suggested changes: Could focus on similarities in PBP proteins across species, fitness advantages, horizontal gene transfer</w:t>
      </w:r>
    </w:p>
    <w:p w:rsidR="00000000" w:rsidDel="00000000" w:rsidP="00000000" w:rsidRDefault="00000000" w:rsidRPr="00000000" w14:paraId="00000096">
      <w:pPr>
        <w:pStyle w:val="Heading1"/>
        <w:rPr/>
      </w:pPr>
      <w:bookmarkStart w:colFirst="0" w:colLast="0" w:name="_heading=h.ijvbt1gfmbnv" w:id="7"/>
      <w:bookmarkEnd w:id="7"/>
      <w:r w:rsidDel="00000000" w:rsidR="00000000" w:rsidRPr="00000000">
        <w:rPr>
          <w:rtl w:val="0"/>
        </w:rPr>
        <w:t xml:space="preserve">PILOT TESTING:</w:t>
      </w:r>
    </w:p>
    <w:p w:rsidR="00000000" w:rsidDel="00000000" w:rsidP="00000000" w:rsidRDefault="00000000" w:rsidRPr="00000000" w14:paraId="00000097">
      <w:pPr>
        <w:jc w:val="both"/>
        <w:rPr>
          <w:i w:val="1"/>
          <w:sz w:val="12"/>
          <w:szCs w:val="12"/>
        </w:rPr>
      </w:pPr>
      <w:r w:rsidDel="00000000" w:rsidR="00000000" w:rsidRPr="00000000">
        <w:rPr>
          <w:rtl w:val="0"/>
        </w:rPr>
      </w:r>
    </w:p>
    <w:p w:rsidR="00000000" w:rsidDel="00000000" w:rsidP="00000000" w:rsidRDefault="00000000" w:rsidRPr="00000000" w14:paraId="00000098">
      <w:pPr>
        <w:jc w:val="both"/>
        <w:rPr>
          <w:i w:val="1"/>
        </w:rPr>
      </w:pPr>
      <w:r w:rsidDel="00000000" w:rsidR="00000000" w:rsidRPr="00000000">
        <w:rPr>
          <w:i w:val="1"/>
          <w:rtl w:val="0"/>
        </w:rPr>
        <w:t xml:space="preserve">NOTE: This case was initially designed using PBP2 and PBP2a from MRSA as the structures to explore, with MRSA as the hook. However, the PDB entries available from S. aureus (1MWT and 1VQQ) were not the most intuitive illustration for students to visualize how a susceptible and a resistant PBP interact with the same ligand (drug). The first pilot test (Autumn Quarter 2024) with the MRSA example proved challenging – students were getting lost with the indirect comparison. In an effort to find a more straightforward comparison, we found that the PBP2 proteins from cephalosporin-susceptible and cephalosporin-resistant N. gonorrhoeae provided a nice example to showcase the structure-function relationship we wanted students to examine. Thus, this revamped version of the case was tested in Winter Quarter 2025.</w:t>
      </w:r>
    </w:p>
    <w:p w:rsidR="00000000" w:rsidDel="00000000" w:rsidP="00000000" w:rsidRDefault="00000000" w:rsidRPr="00000000" w14:paraId="00000099">
      <w:pPr>
        <w:jc w:val="both"/>
        <w:rPr>
          <w:i w:val="1"/>
          <w:sz w:val="12"/>
          <w:szCs w:val="12"/>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Case written by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Saumya M. Sankaran, PhD (Division of Science and Mathematics, University of Washington Tacoma)</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Case taught by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Sarah R. Alaei, PhD (Division of Science and Mathematics, University of Washington Tacoma)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270"/>
        <w:jc w:val="both"/>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Course setting: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case was piloted in TBIOL 301 – General Microbiology during Winter Quarter 2025 with a section of 20 students (16 of whom participated). This is an upper division core (required) course for Biomedical Science majors, and it has prerequisites of introductory biology &amp; chemistry, but does not require any other upper division courses such as molecular biology or biochemistry. However, students may take these upper division courses in any order, so some may have taken these courses while others may not.</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270"/>
        <w:jc w:val="both"/>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Case study lesson plan: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case was mid-way through the quarter over two 2 x 2-hr class periods. Students were assigned the pre-readings as homework the week before. The instructor prefaced the case with a mini lecture (see attached slide deck) designed for this course context, pulling on prior information about bacterial cell wall structure and reminding students what peptidoglycans are, then reviewing antibiotics and mechanisms of resistance. Students were asked to share examples they had encountered of antibiotic resistance, and to discuss the mechanisms of resistance (including multi-drug resistance) to set the scene for the case. Session 1 covered the “Hook,” “Presentation of Case Context,” and “Part 1: The Structures.” Session 2 covered “Part 2: The Function” and “Part 3: Connecting Sequence, Structure, and Function.” </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270"/>
        <w:jc w:val="both"/>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Implementation with students: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class met in a computer lab to provide access to computers for students who couldn’t/didn’t want to bring their own laptops. Students worked in pairs so they could discuss their learning and troubleshooting. The case was run in the Interrupted Case Study method, allowing students to work at their own pace for short bursts and then reconvening the group to discuss progress (with some answers “revealed” by class discussion and students sharing out) as a way to ensure that students were on the right track and relating the point of the exercise back to the central question of the case. Students were asked to fill in their answers to the questions in the case study as they progressed, but were given until the following lecture to submit their final work (as pairs) in case they wanted to spend any additional time fleshing out or streamlining answers.</w:t>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pPr>
    <w:r w:rsidDel="00000000" w:rsidR="00000000" w:rsidRPr="00000000">
      <w:rPr/>
      <w:drawing>
        <wp:inline distB="0" distT="0" distL="0" distR="0">
          <wp:extent cx="1157288" cy="547724"/>
          <wp:effectExtent b="0" l="0" r="0" t="0"/>
          <wp:docPr descr="Text&#10;&#10;Description automatically generated with medium confidence" id="2" name="image1.png"/>
          <a:graphic>
            <a:graphicData uri="http://schemas.openxmlformats.org/drawingml/2006/picture">
              <pic:pic>
                <pic:nvPicPr>
                  <pic:cNvPr descr="Text&#10;&#10;Description automatically generated with medium confidence" id="0" name="image1.png"/>
                  <pic:cNvPicPr preferRelativeResize="0"/>
                </pic:nvPicPr>
                <pic:blipFill>
                  <a:blip r:embed="rId1"/>
                  <a:srcRect b="0" l="0" r="0" t="0"/>
                  <a:stretch>
                    <a:fillRect/>
                  </a:stretch>
                </pic:blipFill>
                <pic:spPr>
                  <a:xfrm>
                    <a:off x="0" y="0"/>
                    <a:ext cx="1157288" cy="547724"/>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jc w:val="right"/>
      <w:rPr/>
    </w:pPr>
    <w:r w:rsidDel="00000000" w:rsidR="00000000" w:rsidRPr="00000000">
      <w:rPr>
        <w:rFonts w:ascii="Calibri" w:cs="Calibri" w:eastAsia="Calibri" w:hAnsi="Calibri"/>
        <w:sz w:val="20"/>
        <w:szCs w:val="20"/>
        <w:rtl w:val="0"/>
      </w:rPr>
      <w:t xml:space="preserve">Version: May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7514D"/>
    <w:pPr>
      <w:ind w:left="720"/>
      <w:contextualSpacing w:val="1"/>
    </w:pPr>
  </w:style>
  <w:style w:type="character" w:styleId="Hyperlink">
    <w:name w:val="Hyperlink"/>
    <w:basedOn w:val="DefaultParagraphFont"/>
    <w:uiPriority w:val="99"/>
    <w:unhideWhenUsed w:val="1"/>
    <w:rsid w:val="0085707D"/>
    <w:rPr>
      <w:color w:val="0000ff" w:themeColor="hyperlink"/>
      <w:u w:val="single"/>
    </w:rPr>
  </w:style>
  <w:style w:type="character" w:styleId="UnresolvedMention">
    <w:name w:val="Unresolved Mention"/>
    <w:basedOn w:val="DefaultParagraphFont"/>
    <w:uiPriority w:val="99"/>
    <w:semiHidden w:val="1"/>
    <w:unhideWhenUsed w:val="1"/>
    <w:rsid w:val="0085707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371/journal.pone.0196878.t002" TargetMode="External"/><Relationship Id="rId10" Type="http://schemas.openxmlformats.org/officeDocument/2006/relationships/hyperlink" Target="https://biomolviz.org/framework/" TargetMode="External"/><Relationship Id="rId13" Type="http://schemas.openxmlformats.org/officeDocument/2006/relationships/hyperlink" Target="https://www.reactgroup.org/toolbox/understand/antibiotics/how-do-antibiotics-work/" TargetMode="External"/><Relationship Id="rId12" Type="http://schemas.openxmlformats.org/officeDocument/2006/relationships/hyperlink" Target="https://youtu.be/4srU4183p6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s.org/content/dam/acsorg/about/governance/committees/training/acsapproved/degreeprogram/macromolecular-supramolecular-nanoscale-supplement.pdf" TargetMode="External"/><Relationship Id="rId15" Type="http://schemas.openxmlformats.org/officeDocument/2006/relationships/hyperlink" Target="https://www.reactgroup.org/toolbox/understand/antibiotic-resistance/resistance-mechanisms-in-bacteria/" TargetMode="External"/><Relationship Id="rId14" Type="http://schemas.openxmlformats.org/officeDocument/2006/relationships/hyperlink" Target="https://www.reactgroup.org/toolbox/understand/antibiotic-resistance/mutation-and-selection/" TargetMode="External"/><Relationship Id="rId17" Type="http://schemas.openxmlformats.org/officeDocument/2006/relationships/hyperlink" Target="https://youtu.be/4srU4183p6Y" TargetMode="External"/><Relationship Id="rId16" Type="http://schemas.openxmlformats.org/officeDocument/2006/relationships/hyperlink" Target="https://www.cdc.gov/gonorrhea/hcp/drug-resistant/index.html"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asbmb.org/education/core-concept-teaching-strategies/foundational-concepts" TargetMode="External"/><Relationship Id="rId8" Type="http://schemas.openxmlformats.org/officeDocument/2006/relationships/hyperlink" Target="https://www.lifescied.org/doi/10.1187/cbe.13-12-0233#F3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1/NHpJ8pkXJJVR8+XCeRKergqA==">CgMxLjAyDmguZWszaGJ5dGxkZ3NnMg5oLnVyODRyMTdwNjRnNzIOaC5ncjhtcWgxdnYyYzgyDmguaXhqaGVjbWE0b2RiMg5oLjloeWttdnB4ZjdmMDIOaC5ydHVweHd5OWUzN2syDmguemVyeDI5cnNtcm9hMg5oLmlqdmJ0MWdmbWJudjgAciExQlppekdxeGc1VURCTldpbDI5alMwUVRzbW5SNEx5NHk=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2025-03-17T20:05:00Z</dcterms:created>
  <dc:creator>Saumya</dc:creator>
</cp:coreProperties>
</file>