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721779" w14:textId="77777777" w:rsidR="004573A9" w:rsidRDefault="00270C3C">
      <w:pPr>
        <w:pStyle w:val="Heading1"/>
        <w:jc w:val="center"/>
        <w:rPr>
          <w:i/>
        </w:rPr>
      </w:pPr>
      <w:bookmarkStart w:id="0" w:name="_tzw23m6170pj" w:colFirst="0" w:colLast="0"/>
      <w:bookmarkEnd w:id="0"/>
      <w:r>
        <w:t>Daisy’s Doula Job</w:t>
      </w:r>
    </w:p>
    <w:p w14:paraId="7EFB4B1B" w14:textId="77777777" w:rsidR="004573A9" w:rsidRDefault="00270C3C">
      <w:pPr>
        <w:pStyle w:val="Heading2"/>
      </w:pPr>
      <w:bookmarkStart w:id="1" w:name="_ty31jhbo5sf2" w:colFirst="0" w:colLast="0"/>
      <w:bookmarkEnd w:id="1"/>
      <w:r>
        <w:t>The case study context</w:t>
      </w:r>
    </w:p>
    <w:p w14:paraId="097D35F6" w14:textId="77777777" w:rsidR="004573A9" w:rsidRDefault="00270C3C">
      <w:pPr>
        <w:jc w:val="both"/>
      </w:pPr>
      <w:r>
        <w:t>Daisy is a third-year undergraduate student, majoring in Biochemistry. After her mother passed away at a young age, Daisy was raised by her maternal grandmother, who served the Appalachian community as a doula*. Inspired by her grandmother, helping women a</w:t>
      </w:r>
      <w:r>
        <w:t xml:space="preserve">nd families during their pregnancy journey, Daisy received her doula certification after high school. Every summer Daisy volunteers with a well-established doula organization. In this role, she provides essential support and care to pregnant women in </w:t>
      </w:r>
      <w:proofErr w:type="gramStart"/>
      <w:r>
        <w:t>child</w:t>
      </w:r>
      <w:r>
        <w:t>-birth</w:t>
      </w:r>
      <w:proofErr w:type="gramEnd"/>
      <w:r>
        <w:t xml:space="preserve"> and postpartum care. This summer was particularly memorable and challenging for Daisy. She was hired by a family who recently had a baby girl.</w:t>
      </w:r>
    </w:p>
    <w:p w14:paraId="238BC841" w14:textId="77777777" w:rsidR="004573A9" w:rsidRDefault="00270C3C">
      <w:pPr>
        <w:jc w:val="both"/>
      </w:pPr>
      <w:r>
        <w:t xml:space="preserve">The baby was delivered normally with no complications; however, the baby’s head circumference was smaller </w:t>
      </w:r>
      <w:r>
        <w:t xml:space="preserve">than </w:t>
      </w:r>
      <w:proofErr w:type="gramStart"/>
      <w:r>
        <w:t>normal</w:t>
      </w:r>
      <w:proofErr w:type="gramEnd"/>
      <w:r>
        <w:t xml:space="preserve"> and she had red patches all over her skin. Additionally, she developed a seizure shortly after birth. The doctor suspected that the baby had a disorder called microcephaly capillary malformation (MIC-CAP) syndrome and performed some blood work </w:t>
      </w:r>
      <w:r>
        <w:t>to confirm the diagnosis. The new parents were not sure how to handle this news. Sensing the distress of the family, Daisy felt a strong sense of responsibility to help ease some of their anxiety. She decided to learn more about this condition and then pro</w:t>
      </w:r>
      <w:r>
        <w:t>vide the family understandable information, potential outcomes, and available support systems so that the new parents could make informed decisions and navigate the challenges ahead.</w:t>
      </w:r>
    </w:p>
    <w:p w14:paraId="448E2DB2" w14:textId="77777777" w:rsidR="004573A9" w:rsidRDefault="00270C3C">
      <w:pPr>
        <w:jc w:val="both"/>
        <w:rPr>
          <w:b/>
        </w:rPr>
      </w:pPr>
      <w:r>
        <w:rPr>
          <w:b/>
        </w:rPr>
        <w:t>This case study follows Daisy as she learns more about this condition, fo</w:t>
      </w:r>
      <w:r>
        <w:rPr>
          <w:b/>
        </w:rPr>
        <w:t xml:space="preserve">cused on understanding what may have caused the baby to have MIC-CAP syndrome. </w:t>
      </w:r>
    </w:p>
    <w:p w14:paraId="1D7BD577" w14:textId="77777777" w:rsidR="004573A9" w:rsidRDefault="00270C3C">
      <w:pPr>
        <w:pStyle w:val="Heading2"/>
      </w:pPr>
      <w:bookmarkStart w:id="2" w:name="_6w12meksdvmw" w:colFirst="0" w:colLast="0"/>
      <w:bookmarkEnd w:id="2"/>
      <w:r>
        <w:t>Part I: Understanding ubiquitin and deubiquitinating enzyme</w:t>
      </w:r>
    </w:p>
    <w:p w14:paraId="32B8FADE" w14:textId="77777777" w:rsidR="004573A9" w:rsidRDefault="00270C3C">
      <w:pPr>
        <w:jc w:val="both"/>
      </w:pPr>
      <w:bookmarkStart w:id="3" w:name="_t69twgvi1ig" w:colFirst="0" w:colLast="0"/>
      <w:bookmarkEnd w:id="3"/>
      <w:r>
        <w:t xml:space="preserve">Daisy scoured medical journals and online resources to gather accurate information about MIC-CAP syndrome. She came </w:t>
      </w:r>
      <w:r>
        <w:t xml:space="preserve">across a paper titled “Mutations in </w:t>
      </w:r>
      <w:r>
        <w:rPr>
          <w:i/>
        </w:rPr>
        <w:t>STAMBP</w:t>
      </w:r>
      <w:r>
        <w:rPr>
          <w:i/>
          <w:vertAlign w:val="superscript"/>
        </w:rPr>
        <w:footnoteReference w:id="1"/>
      </w:r>
      <w:r>
        <w:rPr>
          <w:i/>
        </w:rPr>
        <w:t>,</w:t>
      </w:r>
      <w:r>
        <w:t xml:space="preserve"> encoding a deubiquitinating enzyme, cause Microcephaly-Capillary Malformation syndrome” by McDonell et al., 2013.</w:t>
      </w:r>
      <w:r>
        <w:rPr>
          <w:vertAlign w:val="superscript"/>
        </w:rPr>
        <w:t>1</w:t>
      </w:r>
      <w:r>
        <w:t xml:space="preserve"> Daisy recalled studying about ubiquitin (</w:t>
      </w:r>
      <w:proofErr w:type="spellStart"/>
      <w:r>
        <w:t>Ub</w:t>
      </w:r>
      <w:proofErr w:type="spellEnd"/>
      <w:r>
        <w:t>)</w:t>
      </w:r>
      <w:r>
        <w:rPr>
          <w:vertAlign w:val="superscript"/>
        </w:rPr>
        <w:footnoteReference w:id="2"/>
      </w:r>
      <w:r>
        <w:t xml:space="preserve"> protein in one of her biology classes and that u</w:t>
      </w:r>
      <w:r>
        <w:t>biquitin-proteasome system maintains protein balance in cells. She looked up the information and videos that her instructor had shown in the class:</w:t>
      </w:r>
    </w:p>
    <w:p w14:paraId="7D7CD8CF" w14:textId="77777777" w:rsidR="004573A9" w:rsidRDefault="00270C3C">
      <w:pPr>
        <w:spacing w:after="0" w:line="240" w:lineRule="auto"/>
      </w:pPr>
      <w:bookmarkStart w:id="4" w:name="_arfqshaksebx" w:colFirst="0" w:colLast="0"/>
      <w:bookmarkEnd w:id="4"/>
      <w:r>
        <w:lastRenderedPageBreak/>
        <w:t xml:space="preserve">Ubiquitin: </w:t>
      </w:r>
      <w:hyperlink r:id="rId7">
        <w:r>
          <w:rPr>
            <w:color w:val="467886"/>
            <w:u w:val="single"/>
          </w:rPr>
          <w:t>https://pdb101.rcsb.org/motm/60</w:t>
        </w:r>
      </w:hyperlink>
      <w:r>
        <w:t xml:space="preserve">  </w:t>
      </w:r>
    </w:p>
    <w:p w14:paraId="399665F3" w14:textId="77777777" w:rsidR="004573A9" w:rsidRDefault="00270C3C">
      <w:pPr>
        <w:spacing w:after="0" w:line="240" w:lineRule="auto"/>
      </w:pPr>
      <w:r>
        <w:t xml:space="preserve">Proteasome: </w:t>
      </w:r>
      <w:hyperlink r:id="rId8">
        <w:r>
          <w:rPr>
            <w:color w:val="467886"/>
            <w:u w:val="single"/>
          </w:rPr>
          <w:t>https://www.youtube.com/watch?v=TgOe7aPVpoM</w:t>
        </w:r>
      </w:hyperlink>
    </w:p>
    <w:p w14:paraId="59D1F2B8" w14:textId="77777777" w:rsidR="004573A9" w:rsidRDefault="004573A9">
      <w:pPr>
        <w:spacing w:after="0" w:line="240" w:lineRule="auto"/>
      </w:pPr>
    </w:p>
    <w:p w14:paraId="665955B5" w14:textId="77777777" w:rsidR="004573A9" w:rsidRDefault="00270C3C">
      <w:pPr>
        <w:jc w:val="both"/>
      </w:pPr>
      <w:r>
        <w:t>Unsure about the deubiquitinating enzyme (DUB), Daisy figured out that DUB removes ubiquitin from target proteins to regulate ubiquitination, leadin</w:t>
      </w:r>
      <w:r>
        <w:t>g to protein degradation. There are different families of DUB. These DUBs play key regulatory roles in cellular processes by replenishing the free ubiquitin pool in the cell. Maintaining a free ubiquitin pool is important to keep balance in the cells for t</w:t>
      </w:r>
      <w:r>
        <w:t>heir proper functioning and to generate signals in response to environmental change or damage to biomolecules.</w:t>
      </w:r>
    </w:p>
    <w:p w14:paraId="0C39EAEE" w14:textId="77777777" w:rsidR="004573A9" w:rsidRDefault="004573A9">
      <w:pPr>
        <w:jc w:val="both"/>
      </w:pPr>
    </w:p>
    <w:p w14:paraId="24F66EB3" w14:textId="77777777" w:rsidR="004573A9" w:rsidRDefault="00270C3C">
      <w:pPr>
        <w:jc w:val="both"/>
      </w:pPr>
      <w:r>
        <w:t>Answer the following questions:</w:t>
      </w:r>
    </w:p>
    <w:p w14:paraId="1D019262" w14:textId="77777777" w:rsidR="004573A9" w:rsidRDefault="00270C3C">
      <w:pPr>
        <w:jc w:val="both"/>
      </w:pPr>
      <w:r>
        <w:t>Q1. Read the abstract (</w:t>
      </w:r>
      <w:hyperlink r:id="rId9">
        <w:r>
          <w:rPr>
            <w:color w:val="467886"/>
            <w:u w:val="single"/>
          </w:rPr>
          <w:t>https://pubmed.ncbi.nlm.nih.</w:t>
        </w:r>
        <w:r>
          <w:rPr>
            <w:color w:val="467886"/>
            <w:u w:val="single"/>
          </w:rPr>
          <w:t>gov/23542699/</w:t>
        </w:r>
      </w:hyperlink>
      <w:r>
        <w:t xml:space="preserve">) and/or the description of this condition in </w:t>
      </w:r>
      <w:hyperlink r:id="rId10">
        <w:r>
          <w:rPr>
            <w:color w:val="1155CC"/>
            <w:u w:val="single"/>
          </w:rPr>
          <w:t>OMIM</w:t>
        </w:r>
      </w:hyperlink>
      <w:r>
        <w:t xml:space="preserve"> (</w:t>
      </w:r>
      <w:hyperlink r:id="rId11">
        <w:r>
          <w:rPr>
            <w:color w:val="1155CC"/>
            <w:u w:val="single"/>
          </w:rPr>
          <w:t>https://omim.org/entry/614261</w:t>
        </w:r>
      </w:hyperlink>
      <w:r>
        <w:t>) and briefly describe what causes MIC-CAP syndrome?</w:t>
      </w:r>
    </w:p>
    <w:p w14:paraId="60598CC5" w14:textId="77777777" w:rsidR="004573A9" w:rsidRDefault="004573A9">
      <w:pPr>
        <w:pBdr>
          <w:top w:val="nil"/>
          <w:left w:val="nil"/>
          <w:bottom w:val="nil"/>
          <w:right w:val="nil"/>
          <w:between w:val="nil"/>
        </w:pBdr>
        <w:jc w:val="both"/>
        <w:rPr>
          <w:color w:val="FF0000"/>
        </w:rPr>
      </w:pPr>
    </w:p>
    <w:p w14:paraId="667A533B" w14:textId="77777777" w:rsidR="004573A9" w:rsidRDefault="004573A9">
      <w:pPr>
        <w:pBdr>
          <w:top w:val="nil"/>
          <w:left w:val="nil"/>
          <w:bottom w:val="nil"/>
          <w:right w:val="nil"/>
          <w:between w:val="nil"/>
        </w:pBdr>
        <w:jc w:val="both"/>
        <w:rPr>
          <w:color w:val="FF0000"/>
        </w:rPr>
      </w:pPr>
    </w:p>
    <w:p w14:paraId="7DD7ED53" w14:textId="77777777" w:rsidR="004573A9" w:rsidRDefault="00270C3C">
      <w:pPr>
        <w:jc w:val="both"/>
      </w:pPr>
      <w:r>
        <w:t>Q2. How doe</w:t>
      </w:r>
      <w:r>
        <w:t xml:space="preserve">s ubiquitin participate in protein degradation? Hint: Refer to the </w:t>
      </w:r>
      <w:proofErr w:type="spellStart"/>
      <w:r>
        <w:t>MotM</w:t>
      </w:r>
      <w:proofErr w:type="spellEnd"/>
      <w:r>
        <w:t xml:space="preserve"> article </w:t>
      </w:r>
      <w:hyperlink r:id="rId12">
        <w:r>
          <w:rPr>
            <w:color w:val="1155CC"/>
            <w:u w:val="single"/>
          </w:rPr>
          <w:t>https://pdb101.rcsb.org/motm/60</w:t>
        </w:r>
      </w:hyperlink>
      <w:r>
        <w:t xml:space="preserve"> to learn more.</w:t>
      </w:r>
    </w:p>
    <w:p w14:paraId="5FB882C2" w14:textId="77777777" w:rsidR="004573A9" w:rsidRDefault="004573A9">
      <w:pPr>
        <w:pBdr>
          <w:top w:val="nil"/>
          <w:left w:val="nil"/>
          <w:bottom w:val="nil"/>
          <w:right w:val="nil"/>
          <w:between w:val="nil"/>
        </w:pBdr>
        <w:jc w:val="both"/>
        <w:rPr>
          <w:color w:val="FF0000"/>
        </w:rPr>
      </w:pPr>
    </w:p>
    <w:p w14:paraId="447D4530" w14:textId="77777777" w:rsidR="004573A9" w:rsidRDefault="004573A9">
      <w:pPr>
        <w:pBdr>
          <w:top w:val="nil"/>
          <w:left w:val="nil"/>
          <w:bottom w:val="nil"/>
          <w:right w:val="nil"/>
          <w:between w:val="nil"/>
        </w:pBdr>
        <w:jc w:val="both"/>
        <w:rPr>
          <w:color w:val="FF0000"/>
        </w:rPr>
      </w:pPr>
    </w:p>
    <w:p w14:paraId="14D40DD1" w14:textId="77777777" w:rsidR="004573A9" w:rsidRDefault="00270C3C">
      <w:pPr>
        <w:jc w:val="both"/>
      </w:pPr>
      <w:r>
        <w:t>Q3. In proteasomal degradation, what protein acts as a deubiquitinating enzyme to remove ubiquitin from a target protein? Where is this enzyme found? (Hint: Refer to the video).</w:t>
      </w:r>
    </w:p>
    <w:p w14:paraId="2622DA6D" w14:textId="77777777" w:rsidR="004573A9" w:rsidRDefault="004573A9">
      <w:pPr>
        <w:pBdr>
          <w:top w:val="nil"/>
          <w:left w:val="nil"/>
          <w:bottom w:val="nil"/>
          <w:right w:val="nil"/>
          <w:between w:val="nil"/>
        </w:pBdr>
        <w:jc w:val="both"/>
        <w:rPr>
          <w:color w:val="FF0000"/>
        </w:rPr>
      </w:pPr>
    </w:p>
    <w:p w14:paraId="222256B9" w14:textId="77777777" w:rsidR="004573A9" w:rsidRDefault="004573A9">
      <w:pPr>
        <w:pBdr>
          <w:top w:val="nil"/>
          <w:left w:val="nil"/>
          <w:bottom w:val="nil"/>
          <w:right w:val="nil"/>
          <w:between w:val="nil"/>
        </w:pBdr>
        <w:jc w:val="both"/>
        <w:rPr>
          <w:color w:val="FF0000"/>
        </w:rPr>
      </w:pPr>
    </w:p>
    <w:p w14:paraId="1A65C9DB" w14:textId="77777777" w:rsidR="004573A9" w:rsidRDefault="00270C3C">
      <w:pPr>
        <w:jc w:val="both"/>
      </w:pPr>
      <w:r>
        <w:t>Q4. What is a deubiquitinating enzyme? Why is it important?</w:t>
      </w:r>
    </w:p>
    <w:p w14:paraId="4DFD9772" w14:textId="77777777" w:rsidR="004573A9" w:rsidRDefault="004573A9">
      <w:pPr>
        <w:pBdr>
          <w:top w:val="nil"/>
          <w:left w:val="nil"/>
          <w:bottom w:val="nil"/>
          <w:right w:val="nil"/>
          <w:between w:val="nil"/>
        </w:pBdr>
        <w:jc w:val="both"/>
        <w:rPr>
          <w:color w:val="FF0000"/>
        </w:rPr>
      </w:pPr>
    </w:p>
    <w:p w14:paraId="14A7D5CC" w14:textId="77777777" w:rsidR="004573A9" w:rsidRDefault="004573A9">
      <w:pPr>
        <w:pBdr>
          <w:top w:val="nil"/>
          <w:left w:val="nil"/>
          <w:bottom w:val="nil"/>
          <w:right w:val="nil"/>
          <w:between w:val="nil"/>
        </w:pBdr>
        <w:jc w:val="both"/>
        <w:rPr>
          <w:color w:val="FF0000"/>
        </w:rPr>
      </w:pPr>
    </w:p>
    <w:p w14:paraId="05C19D5F" w14:textId="77777777" w:rsidR="004573A9" w:rsidRDefault="004573A9">
      <w:pPr>
        <w:pStyle w:val="Heading2"/>
        <w:jc w:val="both"/>
      </w:pPr>
      <w:bookmarkStart w:id="5" w:name="_xz58a7m6gu22" w:colFirst="0" w:colLast="0"/>
      <w:bookmarkEnd w:id="5"/>
    </w:p>
    <w:p w14:paraId="6FBF0A12" w14:textId="77777777" w:rsidR="004573A9" w:rsidRDefault="00270C3C">
      <w:pPr>
        <w:pStyle w:val="Heading2"/>
        <w:jc w:val="both"/>
      </w:pPr>
      <w:bookmarkStart w:id="6" w:name="_s1bru9ybkfh7" w:colFirst="0" w:colLast="0"/>
      <w:bookmarkEnd w:id="6"/>
      <w:r>
        <w:t>Part II: Unde</w:t>
      </w:r>
      <w:r>
        <w:t xml:space="preserve">rstanding the role of STAMBP </w:t>
      </w:r>
    </w:p>
    <w:p w14:paraId="0EF23619" w14:textId="77777777" w:rsidR="004573A9" w:rsidRDefault="00270C3C">
      <w:pPr>
        <w:jc w:val="both"/>
      </w:pPr>
      <w:r>
        <w:t xml:space="preserve">Knowing that STAMBP protein is a </w:t>
      </w:r>
      <w:proofErr w:type="spellStart"/>
      <w:r>
        <w:t>deubiquitinase</w:t>
      </w:r>
      <w:proofErr w:type="spellEnd"/>
      <w:r>
        <w:t xml:space="preserve"> or DUB, Daisy was curious to understand how STAMBP is associated in maintaining balance of protein production and breakdown. She explored a few bioinformatics data resources to learn more about the function o</w:t>
      </w:r>
      <w:r>
        <w:t>f STAMBP.</w:t>
      </w:r>
    </w:p>
    <w:p w14:paraId="7D1223BC" w14:textId="77777777" w:rsidR="004573A9" w:rsidRDefault="00270C3C">
      <w:pPr>
        <w:pStyle w:val="Heading3"/>
        <w:numPr>
          <w:ilvl w:val="0"/>
          <w:numId w:val="4"/>
        </w:numPr>
        <w:jc w:val="both"/>
      </w:pPr>
      <w:bookmarkStart w:id="7" w:name="_rfb4x21e7z9q" w:colFirst="0" w:colLast="0"/>
      <w:bookmarkEnd w:id="7"/>
      <w:r>
        <w:t>From the Literature</w:t>
      </w:r>
    </w:p>
    <w:p w14:paraId="3BF1EE84" w14:textId="77777777" w:rsidR="004573A9" w:rsidRDefault="00270C3C">
      <w:pPr>
        <w:jc w:val="both"/>
      </w:pPr>
      <w:r>
        <w:t xml:space="preserve">Daisy investigated the paper McDonell et al., 2013 and learned that the deubiquitinating enzyme STAMBP is also known as AMSH (short for “Associated molecule with the SH3 domain of STAM”). It has different </w:t>
      </w:r>
      <w:proofErr w:type="gramStart"/>
      <w:r>
        <w:t>domains, and</w:t>
      </w:r>
      <w:proofErr w:type="gramEnd"/>
      <w:r>
        <w:t xml:space="preserve"> is invol</w:t>
      </w:r>
      <w:r>
        <w:t>ved in protein degradation. Based on a figure in the paper she read, Daisy made a quick schematic sketch of the protein domains from the N- to C-terminus (left to right, Figure 1), listing their names, abbreviations, and key functions.</w:t>
      </w:r>
    </w:p>
    <w:p w14:paraId="4B58044F" w14:textId="77777777" w:rsidR="004573A9" w:rsidRDefault="00270C3C">
      <w:pPr>
        <w:jc w:val="both"/>
      </w:pPr>
      <w:r>
        <w:t xml:space="preserve">  </w:t>
      </w:r>
      <w:r>
        <w:rPr>
          <w:noProof/>
        </w:rPr>
        <w:drawing>
          <wp:inline distT="0" distB="0" distL="0" distR="0" wp14:anchorId="52DBCBA1" wp14:editId="551FB7AE">
            <wp:extent cx="5497830" cy="46402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497830" cy="464026"/>
                    </a:xfrm>
                    <a:prstGeom prst="rect">
                      <a:avLst/>
                    </a:prstGeom>
                    <a:ln/>
                  </pic:spPr>
                </pic:pic>
              </a:graphicData>
            </a:graphic>
          </wp:inline>
        </w:drawing>
      </w:r>
    </w:p>
    <w:p w14:paraId="0AAA3A0C" w14:textId="77777777" w:rsidR="004573A9" w:rsidRDefault="00270C3C">
      <w:pPr>
        <w:rPr>
          <w:sz w:val="20"/>
          <w:szCs w:val="20"/>
        </w:rPr>
      </w:pPr>
      <w:r>
        <w:rPr>
          <w:b/>
          <w:sz w:val="20"/>
          <w:szCs w:val="20"/>
        </w:rPr>
        <w:t>Figure 1. AMSH c</w:t>
      </w:r>
      <w:r>
        <w:rPr>
          <w:b/>
          <w:sz w:val="20"/>
          <w:szCs w:val="20"/>
        </w:rPr>
        <w:t xml:space="preserve">onsists of the MIT, SBM and JAMM domains responsible for interacting with different components of ESCRT machinery. </w:t>
      </w:r>
    </w:p>
    <w:p w14:paraId="3F818EB0" w14:textId="77777777" w:rsidR="004573A9" w:rsidRDefault="00270C3C">
      <w:pPr>
        <w:jc w:val="both"/>
      </w:pPr>
      <w:r>
        <w:t>The AMSH protein’s domains include:</w:t>
      </w:r>
    </w:p>
    <w:p w14:paraId="684BD5D8" w14:textId="77777777" w:rsidR="004573A9" w:rsidRDefault="00270C3C">
      <w:pPr>
        <w:numPr>
          <w:ilvl w:val="0"/>
          <w:numId w:val="1"/>
        </w:numPr>
        <w:spacing w:after="0"/>
        <w:jc w:val="both"/>
      </w:pPr>
      <w:bookmarkStart w:id="8" w:name="_fxk4l8mpqn6a" w:colFirst="0" w:colLast="0"/>
      <w:bookmarkEnd w:id="8"/>
      <w:r>
        <w:t>MIT</w:t>
      </w:r>
      <w:r>
        <w:rPr>
          <w:vertAlign w:val="superscript"/>
        </w:rPr>
        <w:footnoteReference w:id="3"/>
      </w:r>
      <w:r>
        <w:t xml:space="preserve"> (microtubule interacting and transport) domain that interacts with specific ESCRT-III proteins (CH</w:t>
      </w:r>
      <w:r>
        <w:t>MP3-charged multivesicular bodies 3)</w:t>
      </w:r>
      <w:r>
        <w:rPr>
          <w:vertAlign w:val="superscript"/>
        </w:rPr>
        <w:footnoteReference w:id="4"/>
      </w:r>
      <w:r>
        <w:t xml:space="preserve">, </w:t>
      </w:r>
    </w:p>
    <w:p w14:paraId="4057AC7D" w14:textId="77777777" w:rsidR="004573A9" w:rsidRDefault="00270C3C">
      <w:pPr>
        <w:numPr>
          <w:ilvl w:val="0"/>
          <w:numId w:val="1"/>
        </w:numPr>
        <w:spacing w:after="0"/>
        <w:jc w:val="both"/>
      </w:pPr>
      <w:bookmarkStart w:id="9" w:name="_qas7du8i8r7o" w:colFirst="0" w:colLast="0"/>
      <w:bookmarkEnd w:id="9"/>
      <w:r>
        <w:t>SBM</w:t>
      </w:r>
      <w:r>
        <w:rPr>
          <w:vertAlign w:val="superscript"/>
        </w:rPr>
        <w:footnoteReference w:id="5"/>
      </w:r>
      <w:r>
        <w:t xml:space="preserve"> (SH3-binding motif) that interacts with STAM of ESCRT-0, and </w:t>
      </w:r>
    </w:p>
    <w:p w14:paraId="7E811C43" w14:textId="77777777" w:rsidR="004573A9" w:rsidRDefault="00270C3C">
      <w:pPr>
        <w:numPr>
          <w:ilvl w:val="0"/>
          <w:numId w:val="1"/>
        </w:numPr>
        <w:jc w:val="both"/>
      </w:pPr>
      <w:bookmarkStart w:id="10" w:name="_egfzbvplk7b7" w:colFirst="0" w:colLast="0"/>
      <w:bookmarkEnd w:id="10"/>
      <w:r>
        <w:t>JAMM</w:t>
      </w:r>
      <w:r>
        <w:rPr>
          <w:vertAlign w:val="superscript"/>
        </w:rPr>
        <w:footnoteReference w:id="6"/>
      </w:r>
      <w:r>
        <w:t xml:space="preserve"> (JAB1/MPN/MOV34 motif) domain, also referred to as the catalytic domain, that interacts with the Lys63-linked</w:t>
      </w:r>
      <w:r>
        <w:rPr>
          <w:vertAlign w:val="superscript"/>
        </w:rPr>
        <w:t xml:space="preserve"> </w:t>
      </w:r>
      <w:r>
        <w:t>polyubiquitin chain</w:t>
      </w:r>
      <w:r>
        <w:rPr>
          <w:vertAlign w:val="superscript"/>
        </w:rPr>
        <w:footnoteReference w:id="7"/>
      </w:r>
      <w:r>
        <w:t xml:space="preserve"> and shortens the ubiquitin chain. </w:t>
      </w:r>
    </w:p>
    <w:p w14:paraId="3A2622E9" w14:textId="77777777" w:rsidR="004573A9" w:rsidRDefault="00270C3C">
      <w:pPr>
        <w:jc w:val="both"/>
      </w:pPr>
      <w:bookmarkStart w:id="11" w:name="_gc0m4q97xhoa" w:colFirst="0" w:colLast="0"/>
      <w:bookmarkEnd w:id="11"/>
      <w:r>
        <w:t xml:space="preserve">While Daisy knew that </w:t>
      </w:r>
      <w:proofErr w:type="spellStart"/>
      <w:r>
        <w:t>deubiquitination</w:t>
      </w:r>
      <w:proofErr w:type="spellEnd"/>
      <w:r>
        <w:t xml:space="preserve"> had a role in protein degradation, she was surpri</w:t>
      </w:r>
      <w:r>
        <w:t xml:space="preserve">sed to learn that STAMBP is recruited by the endosomal sorting complexes required for transport </w:t>
      </w:r>
      <w:r>
        <w:lastRenderedPageBreak/>
        <w:t>(ESCRT)</w:t>
      </w:r>
      <w:r>
        <w:rPr>
          <w:vertAlign w:val="superscript"/>
        </w:rPr>
        <w:footnoteReference w:id="8"/>
      </w:r>
      <w:r>
        <w:t xml:space="preserve"> machinery too. This machinery is involved in sorting of membrane bound compartments, also known as endosomes. Interestingly endosomes are directed to </w:t>
      </w:r>
      <w:r>
        <w:t>lysosomes for degradation (unlike ubiquitin tagged proteins, which are sent to proteasomes).</w:t>
      </w:r>
    </w:p>
    <w:p w14:paraId="64162620" w14:textId="77777777" w:rsidR="004573A9" w:rsidRDefault="00270C3C">
      <w:pPr>
        <w:pStyle w:val="Heading3"/>
        <w:numPr>
          <w:ilvl w:val="0"/>
          <w:numId w:val="4"/>
        </w:numPr>
        <w:jc w:val="both"/>
      </w:pPr>
      <w:bookmarkStart w:id="12" w:name="_fdjhu7clej62" w:colFirst="0" w:colLast="0"/>
      <w:bookmarkEnd w:id="12"/>
      <w:r>
        <w:t xml:space="preserve">From </w:t>
      </w:r>
      <w:proofErr w:type="spellStart"/>
      <w:r>
        <w:t>UniProt</w:t>
      </w:r>
      <w:proofErr w:type="spellEnd"/>
    </w:p>
    <w:p w14:paraId="40C17F87" w14:textId="77777777" w:rsidR="004573A9" w:rsidRDefault="00270C3C">
      <w:pPr>
        <w:jc w:val="both"/>
      </w:pPr>
      <w:r>
        <w:t xml:space="preserve">To learn more about the ESCRT machinery and the involvement of STAMBP, Daisy decided to explore the </w:t>
      </w:r>
      <w:proofErr w:type="spellStart"/>
      <w:r>
        <w:t>UniProt</w:t>
      </w:r>
      <w:proofErr w:type="spellEnd"/>
      <w:r>
        <w:t xml:space="preserve"> page for this protein. She also remembered</w:t>
      </w:r>
      <w:r>
        <w:t xml:space="preserve"> that in her cellular and molecular biology course, she had learned about the KEGG database.  She decided to check that out too, to learn more about this protein. </w:t>
      </w:r>
    </w:p>
    <w:p w14:paraId="5A463914" w14:textId="77777777" w:rsidR="004573A9" w:rsidRDefault="00270C3C">
      <w:pPr>
        <w:numPr>
          <w:ilvl w:val="0"/>
          <w:numId w:val="10"/>
        </w:numPr>
        <w:pBdr>
          <w:top w:val="nil"/>
          <w:left w:val="nil"/>
          <w:bottom w:val="nil"/>
          <w:right w:val="nil"/>
          <w:between w:val="nil"/>
        </w:pBdr>
        <w:jc w:val="both"/>
      </w:pPr>
      <w:r>
        <w:t xml:space="preserve">Go to </w:t>
      </w:r>
      <w:proofErr w:type="spellStart"/>
      <w:r>
        <w:t>UniProt</w:t>
      </w:r>
      <w:proofErr w:type="spellEnd"/>
      <w:r>
        <w:t xml:space="preserve"> (</w:t>
      </w:r>
      <w:hyperlink r:id="rId14">
        <w:r>
          <w:rPr>
            <w:color w:val="1155CC"/>
            <w:u w:val="single"/>
          </w:rPr>
          <w:t>https://www.uniprot.org/</w:t>
        </w:r>
      </w:hyperlink>
      <w:r>
        <w:t>) and typ</w:t>
      </w:r>
      <w:r>
        <w:t xml:space="preserve">e STAMBP or AMSH in the search box. In the results returned, search for the human STAMBP protein. </w:t>
      </w:r>
    </w:p>
    <w:p w14:paraId="5308A8B4" w14:textId="77777777" w:rsidR="004573A9" w:rsidRDefault="00270C3C">
      <w:pPr>
        <w:pBdr>
          <w:top w:val="nil"/>
          <w:left w:val="nil"/>
          <w:bottom w:val="nil"/>
          <w:right w:val="nil"/>
          <w:between w:val="nil"/>
        </w:pBdr>
        <w:jc w:val="both"/>
      </w:pPr>
      <w:r>
        <w:t xml:space="preserve">Q1. What is the </w:t>
      </w:r>
      <w:proofErr w:type="spellStart"/>
      <w:r>
        <w:t>UniProt</w:t>
      </w:r>
      <w:proofErr w:type="spellEnd"/>
      <w:r>
        <w:t xml:space="preserve"> identifier for the human STAMBP?</w:t>
      </w:r>
    </w:p>
    <w:p w14:paraId="0E3CE593" w14:textId="77777777" w:rsidR="004573A9" w:rsidRDefault="004573A9">
      <w:pPr>
        <w:pBdr>
          <w:top w:val="nil"/>
          <w:left w:val="nil"/>
          <w:bottom w:val="nil"/>
          <w:right w:val="nil"/>
          <w:between w:val="nil"/>
        </w:pBdr>
        <w:jc w:val="both"/>
        <w:rPr>
          <w:color w:val="FF0000"/>
        </w:rPr>
      </w:pPr>
    </w:p>
    <w:p w14:paraId="513FE642" w14:textId="77777777" w:rsidR="004573A9" w:rsidRDefault="004573A9">
      <w:pPr>
        <w:pBdr>
          <w:top w:val="nil"/>
          <w:left w:val="nil"/>
          <w:bottom w:val="nil"/>
          <w:right w:val="nil"/>
          <w:between w:val="nil"/>
        </w:pBdr>
        <w:jc w:val="both"/>
        <w:rPr>
          <w:color w:val="FF0000"/>
        </w:rPr>
      </w:pPr>
    </w:p>
    <w:p w14:paraId="1B71521D" w14:textId="77777777" w:rsidR="004573A9" w:rsidRDefault="00270C3C">
      <w:pPr>
        <w:pBdr>
          <w:top w:val="nil"/>
          <w:left w:val="nil"/>
          <w:bottom w:val="nil"/>
          <w:right w:val="nil"/>
          <w:between w:val="nil"/>
        </w:pBdr>
        <w:jc w:val="both"/>
      </w:pPr>
      <w:r>
        <w:t xml:space="preserve">Q2. What is the co-factor that this enzyme requires? (Hint: Scan the </w:t>
      </w:r>
      <w:proofErr w:type="spellStart"/>
      <w:r>
        <w:t>UniProt</w:t>
      </w:r>
      <w:proofErr w:type="spellEnd"/>
      <w:r>
        <w:t xml:space="preserve"> page to find this ans</w:t>
      </w:r>
      <w:r>
        <w:t>wer)</w:t>
      </w:r>
    </w:p>
    <w:p w14:paraId="6567D7BB" w14:textId="77777777" w:rsidR="004573A9" w:rsidRDefault="004573A9">
      <w:pPr>
        <w:pBdr>
          <w:top w:val="nil"/>
          <w:left w:val="nil"/>
          <w:bottom w:val="nil"/>
          <w:right w:val="nil"/>
          <w:between w:val="nil"/>
        </w:pBdr>
        <w:jc w:val="both"/>
        <w:rPr>
          <w:color w:val="FF0000"/>
        </w:rPr>
      </w:pPr>
    </w:p>
    <w:p w14:paraId="5BCC1FC9" w14:textId="77777777" w:rsidR="004573A9" w:rsidRDefault="004573A9">
      <w:pPr>
        <w:pBdr>
          <w:top w:val="nil"/>
          <w:left w:val="nil"/>
          <w:bottom w:val="nil"/>
          <w:right w:val="nil"/>
          <w:between w:val="nil"/>
        </w:pBdr>
        <w:jc w:val="both"/>
        <w:rPr>
          <w:color w:val="FF0000"/>
        </w:rPr>
      </w:pPr>
    </w:p>
    <w:p w14:paraId="40EC4FB7" w14:textId="77777777" w:rsidR="004573A9" w:rsidRDefault="00270C3C">
      <w:pPr>
        <w:pStyle w:val="Heading3"/>
        <w:ind w:firstLine="360"/>
        <w:jc w:val="both"/>
      </w:pPr>
      <w:bookmarkStart w:id="13" w:name="_o05a499syuyp" w:colFirst="0" w:colLast="0"/>
      <w:bookmarkEnd w:id="13"/>
      <w:r>
        <w:t>3. From KEGG</w:t>
      </w:r>
    </w:p>
    <w:p w14:paraId="44BAF653" w14:textId="77777777" w:rsidR="004573A9" w:rsidRDefault="00270C3C">
      <w:pPr>
        <w:numPr>
          <w:ilvl w:val="0"/>
          <w:numId w:val="2"/>
        </w:numPr>
        <w:pBdr>
          <w:top w:val="nil"/>
          <w:left w:val="nil"/>
          <w:bottom w:val="nil"/>
          <w:right w:val="nil"/>
          <w:between w:val="nil"/>
        </w:pBdr>
        <w:jc w:val="both"/>
      </w:pPr>
      <w:r>
        <w:t xml:space="preserve">Scroll down to the annotation databases section of the </w:t>
      </w:r>
      <w:proofErr w:type="spellStart"/>
      <w:r>
        <w:t>UniProt</w:t>
      </w:r>
      <w:proofErr w:type="spellEnd"/>
      <w:r>
        <w:t xml:space="preserve"> page to find a link to KEGG or in a fresh browser tab open the </w:t>
      </w:r>
      <w:hyperlink r:id="rId15">
        <w:r>
          <w:rPr>
            <w:color w:val="1155CC"/>
            <w:u w:val="single"/>
          </w:rPr>
          <w:t>KEGG Pathways</w:t>
        </w:r>
      </w:hyperlink>
      <w:r>
        <w:t xml:space="preserve"> resource, and type STAMBP in the top search box. The result</w:t>
      </w:r>
      <w:r>
        <w:t>s should look similar to the following:</w:t>
      </w:r>
    </w:p>
    <w:p w14:paraId="538895A2" w14:textId="77777777" w:rsidR="004573A9" w:rsidRDefault="00270C3C">
      <w:pPr>
        <w:jc w:val="both"/>
      </w:pPr>
      <w:r>
        <w:rPr>
          <w:noProof/>
        </w:rPr>
        <w:drawing>
          <wp:inline distT="0" distB="0" distL="0" distR="0" wp14:anchorId="3CD66008" wp14:editId="072EFA3C">
            <wp:extent cx="5943600" cy="1726821"/>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t="30412" b="17938"/>
                    <a:stretch>
                      <a:fillRect/>
                    </a:stretch>
                  </pic:blipFill>
                  <pic:spPr>
                    <a:xfrm>
                      <a:off x="0" y="0"/>
                      <a:ext cx="5943600" cy="1726821"/>
                    </a:xfrm>
                    <a:prstGeom prst="rect">
                      <a:avLst/>
                    </a:prstGeom>
                    <a:ln/>
                  </pic:spPr>
                </pic:pic>
              </a:graphicData>
            </a:graphic>
          </wp:inline>
        </w:drawing>
      </w:r>
    </w:p>
    <w:p w14:paraId="39E14CA1" w14:textId="77777777" w:rsidR="004573A9" w:rsidRDefault="00270C3C">
      <w:pPr>
        <w:jc w:val="both"/>
        <w:rPr>
          <w:b/>
          <w:sz w:val="20"/>
          <w:szCs w:val="20"/>
        </w:rPr>
      </w:pPr>
      <w:r>
        <w:rPr>
          <w:b/>
          <w:sz w:val="20"/>
          <w:szCs w:val="20"/>
        </w:rPr>
        <w:lastRenderedPageBreak/>
        <w:t xml:space="preserve">Figure 2. KEGG Pathways STAMBP search results  </w:t>
      </w:r>
    </w:p>
    <w:p w14:paraId="1345A218" w14:textId="77777777" w:rsidR="004573A9" w:rsidRDefault="00270C3C">
      <w:pPr>
        <w:jc w:val="both"/>
      </w:pPr>
      <w:r>
        <w:t>Q1: What is the name of the pathway in which STAMBP is involved? (You can click on the entry and read the description).</w:t>
      </w:r>
    </w:p>
    <w:p w14:paraId="716831E1" w14:textId="77777777" w:rsidR="004573A9" w:rsidRDefault="004573A9">
      <w:pPr>
        <w:jc w:val="both"/>
        <w:rPr>
          <w:color w:val="FF0000"/>
        </w:rPr>
      </w:pPr>
    </w:p>
    <w:p w14:paraId="454E89A9" w14:textId="77777777" w:rsidR="004573A9" w:rsidRDefault="004573A9">
      <w:pPr>
        <w:jc w:val="both"/>
        <w:rPr>
          <w:color w:val="FF0000"/>
        </w:rPr>
      </w:pPr>
    </w:p>
    <w:p w14:paraId="7103FB39" w14:textId="77777777" w:rsidR="004573A9" w:rsidRDefault="00270C3C">
      <w:pPr>
        <w:jc w:val="both"/>
      </w:pPr>
      <w:r>
        <w:t>Note: The other name for STAMBP is AMSH</w:t>
      </w:r>
      <w:r>
        <w:rPr>
          <w:vertAlign w:val="superscript"/>
        </w:rPr>
        <w:footnoteReference w:id="9"/>
      </w:r>
      <w:r>
        <w:t xml:space="preserve">, associated molecule with the </w:t>
      </w:r>
      <w:proofErr w:type="spellStart"/>
      <w:r>
        <w:t>Src</w:t>
      </w:r>
      <w:proofErr w:type="spellEnd"/>
      <w:r>
        <w:t xml:space="preserve"> homology 3 domain of signal transducing adaptor molecule.</w:t>
      </w:r>
    </w:p>
    <w:p w14:paraId="40C9A9F3" w14:textId="77777777" w:rsidR="004573A9" w:rsidRDefault="00270C3C">
      <w:pPr>
        <w:numPr>
          <w:ilvl w:val="0"/>
          <w:numId w:val="2"/>
        </w:numPr>
        <w:jc w:val="both"/>
      </w:pPr>
      <w:r>
        <w:t>Click on the pathway map, which will expand the pathway. Go to the bottom of the pathway, which shows ESCRT machinery.</w:t>
      </w:r>
    </w:p>
    <w:p w14:paraId="1389AD04" w14:textId="77777777" w:rsidR="004573A9" w:rsidRDefault="00270C3C">
      <w:pPr>
        <w:jc w:val="both"/>
        <w:rPr>
          <w:b/>
        </w:rPr>
      </w:pPr>
      <w:r>
        <w:t>Q2:</w:t>
      </w:r>
      <w:r>
        <w:t xml:space="preserve"> List the ESCRT components that play a role in STAMBPs function in sequential order. Also record how many times AMSH is involved in the ESCRT machinery. </w:t>
      </w:r>
      <w:r>
        <w:rPr>
          <w:b/>
        </w:rPr>
        <w:t xml:space="preserve">  </w:t>
      </w:r>
    </w:p>
    <w:p w14:paraId="23BF2ED9" w14:textId="77777777" w:rsidR="004573A9" w:rsidRDefault="004573A9">
      <w:pPr>
        <w:jc w:val="both"/>
        <w:rPr>
          <w:color w:val="FF0000"/>
        </w:rPr>
      </w:pPr>
    </w:p>
    <w:p w14:paraId="7874FDBD" w14:textId="77777777" w:rsidR="004573A9" w:rsidRDefault="004573A9">
      <w:pPr>
        <w:jc w:val="both"/>
        <w:rPr>
          <w:color w:val="FF0000"/>
        </w:rPr>
      </w:pPr>
    </w:p>
    <w:p w14:paraId="3B3743BB" w14:textId="77777777" w:rsidR="004573A9" w:rsidRDefault="00270C3C">
      <w:pPr>
        <w:jc w:val="both"/>
      </w:pPr>
      <w:r>
        <w:t>Q3: Take the screenshot of the STAMBP interactions in the pathway and paste it here.</w:t>
      </w:r>
    </w:p>
    <w:p w14:paraId="522E3161" w14:textId="33F7B84D" w:rsidR="004573A9" w:rsidRDefault="004573A9">
      <w:pPr>
        <w:jc w:val="both"/>
        <w:rPr>
          <w:b/>
        </w:rPr>
      </w:pPr>
    </w:p>
    <w:p w14:paraId="416622B6" w14:textId="3779F2BD" w:rsidR="00611FC7" w:rsidRDefault="00611FC7">
      <w:pPr>
        <w:jc w:val="both"/>
        <w:rPr>
          <w:b/>
        </w:rPr>
      </w:pPr>
    </w:p>
    <w:p w14:paraId="5C61FEE5" w14:textId="77777777" w:rsidR="00611FC7" w:rsidRDefault="00611FC7">
      <w:pPr>
        <w:jc w:val="both"/>
        <w:rPr>
          <w:b/>
        </w:rPr>
      </w:pPr>
    </w:p>
    <w:p w14:paraId="512924EA" w14:textId="77777777" w:rsidR="004573A9" w:rsidRDefault="00270C3C">
      <w:pPr>
        <w:numPr>
          <w:ilvl w:val="0"/>
          <w:numId w:val="10"/>
        </w:numPr>
        <w:jc w:val="both"/>
      </w:pPr>
      <w:bookmarkStart w:id="14" w:name="_dk8xh432l843" w:colFirst="0" w:colLast="0"/>
      <w:bookmarkEnd w:id="14"/>
      <w:r>
        <w:t>As you exam</w:t>
      </w:r>
      <w:r>
        <w:t>ine the pathway, note the name of the protein that acts along with STAMBP (AMSH) protein. Click on the protein name in the map to identify it.</w:t>
      </w:r>
    </w:p>
    <w:p w14:paraId="3279F435" w14:textId="77777777" w:rsidR="004573A9" w:rsidRDefault="00270C3C">
      <w:pPr>
        <w:jc w:val="both"/>
      </w:pPr>
      <w:bookmarkStart w:id="15" w:name="_jvrci1nywpz0" w:colFirst="0" w:colLast="0"/>
      <w:bookmarkEnd w:id="15"/>
      <w:r>
        <w:t>Q4. What protein is seen in the pathway diagram to be working along with the STAMP protein? What is its function?</w:t>
      </w:r>
    </w:p>
    <w:p w14:paraId="0B9A6EDF" w14:textId="77777777" w:rsidR="004573A9" w:rsidRDefault="004573A9">
      <w:pPr>
        <w:jc w:val="both"/>
        <w:rPr>
          <w:color w:val="FF0000"/>
        </w:rPr>
      </w:pPr>
      <w:bookmarkStart w:id="16" w:name="_nx1kl5xmr2ul" w:colFirst="0" w:colLast="0"/>
      <w:bookmarkEnd w:id="16"/>
    </w:p>
    <w:p w14:paraId="3E9C1DC7" w14:textId="77777777" w:rsidR="004573A9" w:rsidRDefault="004573A9">
      <w:pPr>
        <w:jc w:val="both"/>
        <w:rPr>
          <w:color w:val="FF0000"/>
        </w:rPr>
      </w:pPr>
      <w:bookmarkStart w:id="17" w:name="_2l16mx3wwctd" w:colFirst="0" w:colLast="0"/>
      <w:bookmarkEnd w:id="17"/>
    </w:p>
    <w:p w14:paraId="062F410D" w14:textId="77777777" w:rsidR="004573A9" w:rsidRDefault="00270C3C">
      <w:pPr>
        <w:pStyle w:val="Heading3"/>
        <w:jc w:val="both"/>
      </w:pPr>
      <w:bookmarkStart w:id="18" w:name="_ukvn2pupc6aq" w:colFirst="0" w:colLast="0"/>
      <w:bookmarkEnd w:id="18"/>
      <w:r>
        <w:t>Overview of STAMBP function</w:t>
      </w:r>
    </w:p>
    <w:p w14:paraId="5DDF3676" w14:textId="77777777" w:rsidR="004573A9" w:rsidRDefault="00270C3C">
      <w:pPr>
        <w:jc w:val="both"/>
      </w:pPr>
      <w:bookmarkStart w:id="19" w:name="_nxqm88x4gn2a" w:colFirst="0" w:colLast="0"/>
      <w:bookmarkEnd w:id="19"/>
      <w:r>
        <w:t>Daisy’s understanding was that degradation and recycling of cellular materials are critical to maintain cellular balance. The cell is constantly synthesizing proteins and removing the ones that are mutated or inactive, maintaining the equilibrium of protei</w:t>
      </w:r>
      <w:r>
        <w:t xml:space="preserve">ns. Degradation is accomplished via ubiquitin-triggered endosomal or </w:t>
      </w:r>
      <w:proofErr w:type="spellStart"/>
      <w:r>
        <w:t>proteosomal</w:t>
      </w:r>
      <w:proofErr w:type="spellEnd"/>
      <w:r>
        <w:t xml:space="preserve"> mechanisms. The figure </w:t>
      </w:r>
      <w:r>
        <w:lastRenderedPageBreak/>
        <w:t xml:space="preserve">below summarizes the endosomal system, in which membrane proteins and cell-surface receptors are sorted to the lysosome for degradation. </w:t>
      </w:r>
    </w:p>
    <w:p w14:paraId="5739232F" w14:textId="77777777" w:rsidR="004573A9" w:rsidRDefault="004573A9"/>
    <w:p w14:paraId="4607A581" w14:textId="77777777" w:rsidR="004573A9" w:rsidRDefault="00270C3C">
      <w:r>
        <w:rPr>
          <w:noProof/>
        </w:rPr>
        <w:drawing>
          <wp:inline distT="0" distB="0" distL="0" distR="0" wp14:anchorId="0A2277D5" wp14:editId="675BDE0C">
            <wp:extent cx="3739714" cy="1899009"/>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3739714" cy="1899009"/>
                    </a:xfrm>
                    <a:prstGeom prst="rect">
                      <a:avLst/>
                    </a:prstGeom>
                    <a:ln/>
                  </pic:spPr>
                </pic:pic>
              </a:graphicData>
            </a:graphic>
          </wp:inline>
        </w:drawing>
      </w:r>
    </w:p>
    <w:p w14:paraId="2E652121" w14:textId="77777777" w:rsidR="004573A9" w:rsidRDefault="00270C3C">
      <w:pPr>
        <w:rPr>
          <w:b/>
          <w:sz w:val="20"/>
          <w:szCs w:val="20"/>
          <w:vertAlign w:val="superscript"/>
        </w:rPr>
      </w:pPr>
      <w:bookmarkStart w:id="20" w:name="_3fsxtvj1vk7k" w:colFirst="0" w:colLast="0"/>
      <w:bookmarkEnd w:id="20"/>
      <w:r>
        <w:rPr>
          <w:b/>
          <w:sz w:val="20"/>
          <w:szCs w:val="20"/>
        </w:rPr>
        <w:t>Figure 3: I</w:t>
      </w:r>
      <w:r>
        <w:rPr>
          <w:b/>
          <w:sz w:val="20"/>
          <w:szCs w:val="20"/>
        </w:rPr>
        <w:t>nvolvement of ubiquitination and the ESCRT machinery in the formation of multivesicular body. (Adapted from Schmidt et al., 2012)</w:t>
      </w:r>
      <w:r>
        <w:rPr>
          <w:b/>
          <w:sz w:val="20"/>
          <w:szCs w:val="20"/>
          <w:vertAlign w:val="superscript"/>
        </w:rPr>
        <w:t>2</w:t>
      </w:r>
    </w:p>
    <w:p w14:paraId="78B4AB9A" w14:textId="77777777" w:rsidR="004573A9" w:rsidRDefault="00270C3C">
      <w:pPr>
        <w:tabs>
          <w:tab w:val="left" w:pos="3870"/>
        </w:tabs>
        <w:jc w:val="both"/>
      </w:pPr>
      <w:r>
        <w:t>Some cell-surface receptors are degraded via lysosome and the process is carried out by the ESCRT machinery, which consists o</w:t>
      </w:r>
      <w:r>
        <w:t xml:space="preserve">f four different assemblies, ESCRT-0, -I, -II, and -III. When the cell surface receptors are damaged, they are internalized via endocytosis and the cytosolic part of the internalized receptor gets polyubiquitinylated. This polyubiquitin chain recruits the </w:t>
      </w:r>
      <w:r>
        <w:t>ESCRT machinery. The ubiquitinylated receptors are shuttled from ESCRT-0 through III, in order, resulting in the formation of a multivesicular body (MVB)</w:t>
      </w:r>
      <w:r>
        <w:rPr>
          <w:vertAlign w:val="superscript"/>
        </w:rPr>
        <w:footnoteReference w:id="10"/>
      </w:r>
      <w:r>
        <w:t>. The newly formed MVB then fuses with the lysosome, delivering the ubiquitinylated receptors. Before</w:t>
      </w:r>
      <w:r>
        <w:t xml:space="preserve"> forming an MVB, the ESCRT-III recruits a deubiquitinating enzyme, STAMBP (AMSH), to remove ubiquitin from being destroyed in the process. STAMBP is also recruited at ESCRT-0; however, its exact function is not known. In this way, STAMBP is involved in mai</w:t>
      </w:r>
      <w:r>
        <w:t xml:space="preserve">ntaining and regulating cellular protein balance. </w:t>
      </w:r>
    </w:p>
    <w:p w14:paraId="46283120" w14:textId="77777777" w:rsidR="004573A9" w:rsidRDefault="00270C3C">
      <w:pPr>
        <w:jc w:val="both"/>
        <w:rPr>
          <w:color w:val="000000"/>
        </w:rPr>
      </w:pPr>
      <w:r>
        <w:t xml:space="preserve">Q5: </w:t>
      </w:r>
      <w:r>
        <w:rPr>
          <w:color w:val="000000"/>
        </w:rPr>
        <w:t>B</w:t>
      </w:r>
      <w:r>
        <w:rPr>
          <w:color w:val="000000"/>
        </w:rPr>
        <w:t>riefly describe how the S</w:t>
      </w:r>
      <w:r>
        <w:t>TAMBP regulates the levels</w:t>
      </w:r>
      <w:r>
        <w:rPr>
          <w:color w:val="000000"/>
        </w:rPr>
        <w:t xml:space="preserve"> of ubiquitin and proteins in cells?</w:t>
      </w:r>
    </w:p>
    <w:p w14:paraId="0EF16DF9" w14:textId="77777777" w:rsidR="004573A9" w:rsidRDefault="004573A9">
      <w:pPr>
        <w:pBdr>
          <w:top w:val="nil"/>
          <w:left w:val="nil"/>
          <w:bottom w:val="nil"/>
          <w:right w:val="nil"/>
          <w:between w:val="nil"/>
        </w:pBdr>
        <w:jc w:val="both"/>
        <w:rPr>
          <w:color w:val="FF0000"/>
        </w:rPr>
      </w:pPr>
    </w:p>
    <w:p w14:paraId="5F1498A9" w14:textId="77777777" w:rsidR="004573A9" w:rsidRDefault="004573A9">
      <w:pPr>
        <w:pBdr>
          <w:top w:val="nil"/>
          <w:left w:val="nil"/>
          <w:bottom w:val="nil"/>
          <w:right w:val="nil"/>
          <w:between w:val="nil"/>
        </w:pBdr>
        <w:jc w:val="both"/>
        <w:rPr>
          <w:color w:val="FF0000"/>
        </w:rPr>
      </w:pPr>
    </w:p>
    <w:p w14:paraId="343175DE" w14:textId="77777777" w:rsidR="004573A9" w:rsidRDefault="004573A9">
      <w:pPr>
        <w:pBdr>
          <w:top w:val="nil"/>
          <w:left w:val="nil"/>
          <w:bottom w:val="nil"/>
          <w:right w:val="nil"/>
          <w:between w:val="nil"/>
        </w:pBdr>
        <w:jc w:val="both"/>
        <w:rPr>
          <w:color w:val="FF0000"/>
        </w:rPr>
      </w:pPr>
    </w:p>
    <w:p w14:paraId="6883A3C2" w14:textId="77777777" w:rsidR="004573A9" w:rsidRDefault="00270C3C">
      <w:pPr>
        <w:pStyle w:val="Heading2"/>
        <w:jc w:val="both"/>
      </w:pPr>
      <w:bookmarkStart w:id="21" w:name="_9ecscwcmbw2n" w:colFirst="0" w:colLast="0"/>
      <w:bookmarkEnd w:id="21"/>
      <w:r>
        <w:lastRenderedPageBreak/>
        <w:t>Part III: Exploring the structure(s)</w:t>
      </w:r>
    </w:p>
    <w:p w14:paraId="1D2E28B6" w14:textId="77777777" w:rsidR="004573A9" w:rsidRDefault="00270C3C">
      <w:pPr>
        <w:jc w:val="both"/>
      </w:pPr>
      <w:bookmarkStart w:id="22" w:name="_lrpt2tha7gnl" w:colFirst="0" w:colLast="0"/>
      <w:bookmarkEnd w:id="22"/>
      <w:r>
        <w:t xml:space="preserve">After understanding how the deubiquitinating enzyme STAMBP (AMSH) is involved in protein degradation, Daisy decided to look at the structure of AMSH and how its functions are carried out. </w:t>
      </w:r>
    </w:p>
    <w:p w14:paraId="0EDCA2CA" w14:textId="77777777" w:rsidR="004573A9" w:rsidRDefault="00270C3C">
      <w:pPr>
        <w:jc w:val="both"/>
      </w:pPr>
      <w:bookmarkStart w:id="23" w:name="_af2uy5hm8m5z" w:colFirst="0" w:colLast="0"/>
      <w:bookmarkEnd w:id="23"/>
      <w:r>
        <w:t xml:space="preserve">Note: From here onwards this protein will be referred to as AMSH. </w:t>
      </w:r>
    </w:p>
    <w:p w14:paraId="415DDC99" w14:textId="77777777" w:rsidR="004573A9" w:rsidRDefault="00270C3C">
      <w:pPr>
        <w:pStyle w:val="Heading3"/>
        <w:jc w:val="both"/>
      </w:pPr>
      <w:bookmarkStart w:id="24" w:name="_42zzqf87cugq" w:colFirst="0" w:colLast="0"/>
      <w:bookmarkEnd w:id="24"/>
      <w:r>
        <w:t>U</w:t>
      </w:r>
      <w:r>
        <w:t>sing data from the PDB and the Mol* visualization tool</w:t>
      </w:r>
    </w:p>
    <w:p w14:paraId="48E4C2C8" w14:textId="77777777" w:rsidR="004573A9" w:rsidRDefault="00270C3C">
      <w:pPr>
        <w:numPr>
          <w:ilvl w:val="0"/>
          <w:numId w:val="7"/>
        </w:numPr>
        <w:jc w:val="both"/>
      </w:pPr>
      <w:r>
        <w:t>Go to the RCSB Protein Data Bank (</w:t>
      </w:r>
      <w:hyperlink r:id="rId18">
        <w:r>
          <w:rPr>
            <w:color w:val="467886"/>
            <w:u w:val="single"/>
          </w:rPr>
          <w:t>https://www.rcsb.org/</w:t>
        </w:r>
      </w:hyperlink>
      <w:r>
        <w:t>). In the query box at the top of the webpage, search for the gene name AMSH and click on one of the str</w:t>
      </w:r>
      <w:r>
        <w:t>uctures belonging to homo sapiens.</w:t>
      </w:r>
    </w:p>
    <w:p w14:paraId="0B114D66" w14:textId="77777777" w:rsidR="004573A9" w:rsidRDefault="00270C3C">
      <w:pPr>
        <w:numPr>
          <w:ilvl w:val="0"/>
          <w:numId w:val="7"/>
        </w:numPr>
        <w:jc w:val="both"/>
      </w:pPr>
      <w:r>
        <w:t xml:space="preserve">Examine the information presented on the structure summary page for each structure </w:t>
      </w:r>
    </w:p>
    <w:p w14:paraId="31D2F442" w14:textId="77777777" w:rsidR="004573A9" w:rsidRDefault="00270C3C">
      <w:pPr>
        <w:jc w:val="both"/>
      </w:pPr>
      <w:r>
        <w:t>Q1. For the first structure in the results page, open the structure summary page and fill out the following table.</w:t>
      </w:r>
    </w:p>
    <w:p w14:paraId="04F15648" w14:textId="77777777" w:rsidR="004573A9" w:rsidRDefault="00270C3C">
      <w:pPr>
        <w:jc w:val="both"/>
      </w:pPr>
      <w:r>
        <w:t>Table 1: PDB summary a</w:t>
      </w:r>
      <w:r>
        <w:t>t a glance for AMSH.</w:t>
      </w:r>
    </w:p>
    <w:tbl>
      <w:tblPr>
        <w:tblStyle w:val="a"/>
        <w:tblW w:w="9440" w:type="dxa"/>
        <w:tblInd w:w="0" w:type="dxa"/>
        <w:tblLayout w:type="fixed"/>
        <w:tblLook w:val="0400" w:firstRow="0" w:lastRow="0" w:firstColumn="0" w:lastColumn="0" w:noHBand="0" w:noVBand="1"/>
      </w:tblPr>
      <w:tblGrid>
        <w:gridCol w:w="5570"/>
        <w:gridCol w:w="3870"/>
      </w:tblGrid>
      <w:tr w:rsidR="004573A9" w14:paraId="72AA2D74" w14:textId="77777777">
        <w:trPr>
          <w:trHeight w:val="480"/>
        </w:trPr>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7B484" w14:textId="77777777" w:rsidR="004573A9" w:rsidRDefault="00270C3C">
            <w:pPr>
              <w:spacing w:after="0" w:line="240" w:lineRule="auto"/>
              <w:jc w:val="both"/>
            </w:pPr>
            <w:r>
              <w:rPr>
                <w:b/>
                <w:color w:val="000000"/>
              </w:rPr>
              <w:t>PDB ID</w:t>
            </w:r>
          </w:p>
        </w:tc>
        <w:tc>
          <w:tcPr>
            <w:tcW w:w="38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624F3D0" w14:textId="77777777" w:rsidR="004573A9" w:rsidRDefault="00270C3C">
            <w:pPr>
              <w:spacing w:after="0" w:line="240" w:lineRule="auto"/>
              <w:jc w:val="both"/>
            </w:pPr>
            <w:r>
              <w:rPr>
                <w:b/>
                <w:color w:val="FF0000"/>
              </w:rPr>
              <w:t> </w:t>
            </w:r>
          </w:p>
        </w:tc>
      </w:tr>
      <w:tr w:rsidR="004573A9" w14:paraId="67451648" w14:textId="77777777">
        <w:trPr>
          <w:trHeight w:val="480"/>
        </w:trPr>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EB281" w14:textId="77777777" w:rsidR="004573A9" w:rsidRDefault="00270C3C">
            <w:pPr>
              <w:spacing w:after="0" w:line="240" w:lineRule="auto"/>
              <w:jc w:val="both"/>
              <w:rPr>
                <w:b/>
                <w:color w:val="000000"/>
              </w:rPr>
            </w:pPr>
            <w:r>
              <w:rPr>
                <w:b/>
                <w:color w:val="000000"/>
              </w:rPr>
              <w:t xml:space="preserve">Description </w:t>
            </w:r>
          </w:p>
          <w:p w14:paraId="3432BFFA" w14:textId="77777777" w:rsidR="004573A9" w:rsidRDefault="00270C3C">
            <w:pPr>
              <w:spacing w:after="0" w:line="240" w:lineRule="auto"/>
              <w:jc w:val="both"/>
              <w:rPr>
                <w:sz w:val="20"/>
                <w:szCs w:val="20"/>
              </w:rPr>
            </w:pPr>
            <w:r>
              <w:rPr>
                <w:sz w:val="20"/>
                <w:szCs w:val="20"/>
              </w:rPr>
              <w:t>You can include the title of the PDB</w:t>
            </w:r>
          </w:p>
        </w:tc>
        <w:tc>
          <w:tcPr>
            <w:tcW w:w="38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9FBADBE" w14:textId="77777777" w:rsidR="004573A9" w:rsidRDefault="004573A9">
            <w:pPr>
              <w:spacing w:after="0" w:line="240" w:lineRule="auto"/>
              <w:jc w:val="both"/>
            </w:pPr>
          </w:p>
        </w:tc>
      </w:tr>
      <w:tr w:rsidR="004573A9" w14:paraId="32188485" w14:textId="77777777">
        <w:trPr>
          <w:trHeight w:val="480"/>
        </w:trPr>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4B434" w14:textId="77777777" w:rsidR="004573A9" w:rsidRDefault="00270C3C">
            <w:pPr>
              <w:spacing w:after="0" w:line="240" w:lineRule="auto"/>
              <w:jc w:val="both"/>
            </w:pPr>
            <w:r>
              <w:rPr>
                <w:b/>
                <w:color w:val="000000"/>
              </w:rPr>
              <w:t>Organism(s)</w:t>
            </w:r>
          </w:p>
        </w:tc>
        <w:tc>
          <w:tcPr>
            <w:tcW w:w="38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83205E1" w14:textId="77777777" w:rsidR="004573A9" w:rsidRDefault="00270C3C">
            <w:pPr>
              <w:spacing w:after="0" w:line="240" w:lineRule="auto"/>
            </w:pPr>
            <w:r>
              <w:rPr>
                <w:i/>
                <w:color w:val="FF0000"/>
              </w:rPr>
              <w:t> </w:t>
            </w:r>
          </w:p>
        </w:tc>
      </w:tr>
      <w:tr w:rsidR="004573A9" w14:paraId="0D092F6D" w14:textId="77777777">
        <w:trPr>
          <w:trHeight w:val="1260"/>
        </w:trPr>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0BEDA" w14:textId="77777777" w:rsidR="004573A9" w:rsidRDefault="00270C3C">
            <w:pPr>
              <w:spacing w:line="240" w:lineRule="auto"/>
              <w:ind w:right="160"/>
            </w:pPr>
            <w:r>
              <w:rPr>
                <w:b/>
              </w:rPr>
              <w:t>B</w:t>
            </w:r>
            <w:r>
              <w:rPr>
                <w:b/>
                <w:color w:val="000000"/>
              </w:rPr>
              <w:t>iological assembly</w:t>
            </w:r>
          </w:p>
          <w:p w14:paraId="3EC6978C" w14:textId="77777777" w:rsidR="004573A9" w:rsidRDefault="00270C3C">
            <w:pPr>
              <w:spacing w:line="240" w:lineRule="auto"/>
              <w:ind w:left="160" w:right="160"/>
            </w:pPr>
            <w:r>
              <w:rPr>
                <w:color w:val="000000"/>
                <w:sz w:val="20"/>
                <w:szCs w:val="20"/>
              </w:rPr>
              <w:t>You can find this info under the “Biological Assembly” section in the “global Stoichiometry” subheading</w:t>
            </w:r>
          </w:p>
        </w:tc>
        <w:tc>
          <w:tcPr>
            <w:tcW w:w="38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B0B47E" w14:textId="77777777" w:rsidR="004573A9" w:rsidRDefault="004573A9">
            <w:pPr>
              <w:spacing w:after="0" w:line="240" w:lineRule="auto"/>
              <w:rPr>
                <w:color w:val="FF0000"/>
              </w:rPr>
            </w:pPr>
          </w:p>
        </w:tc>
      </w:tr>
      <w:tr w:rsidR="004573A9" w14:paraId="6130CBBB" w14:textId="77777777">
        <w:trPr>
          <w:trHeight w:val="1035"/>
        </w:trPr>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D206C" w14:textId="77777777" w:rsidR="004573A9" w:rsidRDefault="00270C3C">
            <w:pPr>
              <w:spacing w:line="240" w:lineRule="auto"/>
              <w:ind w:right="160"/>
            </w:pPr>
            <w:proofErr w:type="spellStart"/>
            <w:r>
              <w:rPr>
                <w:b/>
                <w:color w:val="000000"/>
              </w:rPr>
              <w:t>UniProt</w:t>
            </w:r>
            <w:proofErr w:type="spellEnd"/>
            <w:r>
              <w:rPr>
                <w:b/>
                <w:color w:val="000000"/>
              </w:rPr>
              <w:t xml:space="preserve"> </w:t>
            </w:r>
            <w:r>
              <w:rPr>
                <w:b/>
              </w:rPr>
              <w:t>Accession code</w:t>
            </w:r>
          </w:p>
          <w:p w14:paraId="59818F12" w14:textId="77777777" w:rsidR="004573A9" w:rsidRDefault="00270C3C">
            <w:pPr>
              <w:spacing w:line="240" w:lineRule="auto"/>
              <w:ind w:left="160" w:right="160"/>
            </w:pPr>
            <w:r>
              <w:rPr>
                <w:color w:val="000000"/>
                <w:sz w:val="20"/>
                <w:szCs w:val="20"/>
              </w:rPr>
              <w:t>You can find this info under the “macromolecules” section</w:t>
            </w:r>
          </w:p>
        </w:tc>
        <w:tc>
          <w:tcPr>
            <w:tcW w:w="38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A5A9C73" w14:textId="77777777" w:rsidR="004573A9" w:rsidRDefault="00270C3C">
            <w:pPr>
              <w:spacing w:after="0" w:line="240" w:lineRule="auto"/>
            </w:pPr>
            <w:r>
              <w:rPr>
                <w:color w:val="FF0000"/>
                <w:sz w:val="20"/>
                <w:szCs w:val="20"/>
              </w:rPr>
              <w:t> </w:t>
            </w:r>
          </w:p>
        </w:tc>
      </w:tr>
      <w:tr w:rsidR="004573A9" w14:paraId="689A8581" w14:textId="77777777">
        <w:trPr>
          <w:trHeight w:val="1260"/>
        </w:trPr>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4AA9D" w14:textId="77777777" w:rsidR="004573A9" w:rsidRDefault="00270C3C">
            <w:pPr>
              <w:spacing w:line="240" w:lineRule="auto"/>
              <w:ind w:right="160"/>
            </w:pPr>
            <w:r>
              <w:rPr>
                <w:b/>
                <w:color w:val="000000"/>
              </w:rPr>
              <w:t>Names of molecules present in the structures.</w:t>
            </w:r>
          </w:p>
          <w:p w14:paraId="56120F2B" w14:textId="77777777" w:rsidR="004573A9" w:rsidRDefault="00270C3C">
            <w:pPr>
              <w:spacing w:line="240" w:lineRule="auto"/>
              <w:ind w:left="160" w:right="160"/>
            </w:pPr>
            <w:r>
              <w:rPr>
                <w:color w:val="000000"/>
                <w:sz w:val="20"/>
                <w:szCs w:val="20"/>
              </w:rPr>
              <w:t>You can find this under the “macromolecules” section as entity ID</w:t>
            </w:r>
          </w:p>
        </w:tc>
        <w:tc>
          <w:tcPr>
            <w:tcW w:w="38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DCBF10" w14:textId="77777777" w:rsidR="004573A9" w:rsidRDefault="00270C3C">
            <w:pPr>
              <w:spacing w:after="0" w:line="240" w:lineRule="auto"/>
            </w:pPr>
            <w:r>
              <w:rPr>
                <w:color w:val="FF0000"/>
                <w:sz w:val="20"/>
                <w:szCs w:val="20"/>
              </w:rPr>
              <w:t> </w:t>
            </w:r>
          </w:p>
        </w:tc>
      </w:tr>
    </w:tbl>
    <w:p w14:paraId="0B0084A7" w14:textId="77777777" w:rsidR="004573A9" w:rsidRDefault="004573A9">
      <w:pPr>
        <w:spacing w:after="240" w:line="240" w:lineRule="auto"/>
        <w:rPr>
          <w:rFonts w:ascii="Times New Roman" w:eastAsia="Times New Roman" w:hAnsi="Times New Roman" w:cs="Times New Roman"/>
          <w:color w:val="000000"/>
        </w:rPr>
      </w:pPr>
    </w:p>
    <w:p w14:paraId="2DEDA587" w14:textId="77777777" w:rsidR="004573A9" w:rsidRDefault="00270C3C">
      <w:pPr>
        <w:spacing w:after="240" w:line="240" w:lineRule="auto"/>
        <w:jc w:val="both"/>
      </w:pPr>
      <w:r>
        <w:lastRenderedPageBreak/>
        <w:t xml:space="preserve">The title of the PDB entry suggests that the structure is that of only part of the protein (i.e., </w:t>
      </w:r>
      <w:r>
        <w:rPr>
          <w:color w:val="000000"/>
        </w:rPr>
        <w:t xml:space="preserve">the catalytic domain). Daisy wanted to learn about the whole </w:t>
      </w:r>
      <w:proofErr w:type="gramStart"/>
      <w:r>
        <w:rPr>
          <w:color w:val="000000"/>
        </w:rPr>
        <w:t>protein</w:t>
      </w:r>
      <w:proofErr w:type="gramEnd"/>
      <w:r>
        <w:rPr>
          <w:color w:val="000000"/>
        </w:rPr>
        <w:t xml:space="preserve"> so she decided to take a holistic view of AMSH.</w:t>
      </w:r>
    </w:p>
    <w:p w14:paraId="10F401FD" w14:textId="77777777" w:rsidR="004573A9" w:rsidRDefault="00270C3C">
      <w:pPr>
        <w:numPr>
          <w:ilvl w:val="0"/>
          <w:numId w:val="7"/>
        </w:numPr>
        <w:pBdr>
          <w:top w:val="nil"/>
          <w:left w:val="nil"/>
          <w:bottom w:val="nil"/>
          <w:right w:val="nil"/>
          <w:between w:val="nil"/>
        </w:pBdr>
        <w:spacing w:before="240" w:after="240" w:line="240" w:lineRule="auto"/>
        <w:jc w:val="both"/>
        <w:rPr>
          <w:color w:val="000000"/>
        </w:rPr>
      </w:pPr>
      <w:r>
        <w:t>Open the structure summary page of the to</w:t>
      </w:r>
      <w:r>
        <w:t>p structure in the results page and c</w:t>
      </w:r>
      <w:r>
        <w:rPr>
          <w:color w:val="000000"/>
        </w:rPr>
        <w:t xml:space="preserve">lick on the “Explore </w:t>
      </w:r>
      <w:r>
        <w:t>O</w:t>
      </w:r>
      <w:r>
        <w:rPr>
          <w:color w:val="000000"/>
        </w:rPr>
        <w:t xml:space="preserve">95630” tab under the “macromolecules” section Entity ID: 1 (Figure </w:t>
      </w:r>
      <w:r>
        <w:t>4)</w:t>
      </w:r>
      <w:r>
        <w:rPr>
          <w:color w:val="000000"/>
        </w:rPr>
        <w:t xml:space="preserve">. This will give you all the PDB entries that </w:t>
      </w:r>
      <w:r>
        <w:t>have</w:t>
      </w:r>
      <w:r>
        <w:rPr>
          <w:color w:val="000000"/>
        </w:rPr>
        <w:t xml:space="preserve"> a portion of the protein sequence associated with that ID number. </w:t>
      </w:r>
    </w:p>
    <w:p w14:paraId="7BFD077F" w14:textId="77777777" w:rsidR="004573A9" w:rsidRDefault="00270C3C">
      <w:r>
        <w:rPr>
          <w:noProof/>
        </w:rPr>
        <w:drawing>
          <wp:inline distT="0" distB="0" distL="0" distR="0" wp14:anchorId="4A6270FD" wp14:editId="3D9572B3">
            <wp:extent cx="5486400" cy="1738767"/>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486400" cy="1738767"/>
                    </a:xfrm>
                    <a:prstGeom prst="rect">
                      <a:avLst/>
                    </a:prstGeom>
                    <a:ln/>
                  </pic:spPr>
                </pic:pic>
              </a:graphicData>
            </a:graphic>
          </wp:inline>
        </w:drawing>
      </w:r>
    </w:p>
    <w:p w14:paraId="35158301" w14:textId="77777777" w:rsidR="004573A9" w:rsidRDefault="00270C3C">
      <w:pPr>
        <w:rPr>
          <w:b/>
          <w:sz w:val="20"/>
          <w:szCs w:val="20"/>
        </w:rPr>
      </w:pPr>
      <w:r>
        <w:rPr>
          <w:b/>
          <w:sz w:val="20"/>
          <w:szCs w:val="20"/>
        </w:rPr>
        <w:t>Figure 4</w:t>
      </w:r>
      <w:r>
        <w:rPr>
          <w:b/>
          <w:sz w:val="20"/>
          <w:szCs w:val="20"/>
        </w:rPr>
        <w:t>: Macromolecules section of the structure summary page</w:t>
      </w:r>
    </w:p>
    <w:p w14:paraId="154F9E8C" w14:textId="77777777" w:rsidR="004573A9" w:rsidRDefault="00270C3C">
      <w:pPr>
        <w:numPr>
          <w:ilvl w:val="0"/>
          <w:numId w:val="7"/>
        </w:numPr>
        <w:pBdr>
          <w:top w:val="nil"/>
          <w:left w:val="nil"/>
          <w:bottom w:val="nil"/>
          <w:right w:val="nil"/>
          <w:between w:val="nil"/>
        </w:pBdr>
        <w:spacing w:before="240" w:after="240" w:line="240" w:lineRule="auto"/>
        <w:jc w:val="both"/>
        <w:rPr>
          <w:color w:val="000000"/>
        </w:rPr>
      </w:pPr>
      <w:r>
        <w:t>C</w:t>
      </w:r>
      <w:r>
        <w:rPr>
          <w:color w:val="000000"/>
        </w:rPr>
        <w:t xml:space="preserve">lick on “explore sequence alignment in 3D” (Figure 5), which will allow you to view the entire protein structure of AMSH. All structures matching this </w:t>
      </w:r>
      <w:proofErr w:type="spellStart"/>
      <w:r>
        <w:rPr>
          <w:color w:val="000000"/>
        </w:rPr>
        <w:t>UniProt</w:t>
      </w:r>
      <w:proofErr w:type="spellEnd"/>
      <w:r>
        <w:rPr>
          <w:color w:val="000000"/>
        </w:rPr>
        <w:t xml:space="preserve"> accession code as well as the model predi</w:t>
      </w:r>
      <w:r>
        <w:rPr>
          <w:color w:val="000000"/>
        </w:rPr>
        <w:t xml:space="preserve">cted by </w:t>
      </w:r>
      <w:proofErr w:type="spellStart"/>
      <w:r>
        <w:rPr>
          <w:color w:val="000000"/>
        </w:rPr>
        <w:t>AlphaFold</w:t>
      </w:r>
      <w:proofErr w:type="spellEnd"/>
      <w:r>
        <w:rPr>
          <w:color w:val="000000"/>
        </w:rPr>
        <w:t xml:space="preserve"> are shown here</w:t>
      </w:r>
      <w:r>
        <w:t>.</w:t>
      </w:r>
    </w:p>
    <w:p w14:paraId="2A822AE4" w14:textId="77777777" w:rsidR="004573A9" w:rsidRDefault="00270C3C">
      <w:r>
        <w:rPr>
          <w:noProof/>
        </w:rPr>
        <w:drawing>
          <wp:inline distT="0" distB="0" distL="0" distR="0" wp14:anchorId="295E203C" wp14:editId="1B076428">
            <wp:extent cx="5486400" cy="1741714"/>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486400" cy="1741714"/>
                    </a:xfrm>
                    <a:prstGeom prst="rect">
                      <a:avLst/>
                    </a:prstGeom>
                    <a:ln/>
                  </pic:spPr>
                </pic:pic>
              </a:graphicData>
            </a:graphic>
          </wp:inline>
        </w:drawing>
      </w:r>
    </w:p>
    <w:p w14:paraId="5EB431FC" w14:textId="77777777" w:rsidR="004573A9" w:rsidRDefault="00270C3C">
      <w:pPr>
        <w:rPr>
          <w:b/>
          <w:sz w:val="20"/>
          <w:szCs w:val="20"/>
        </w:rPr>
      </w:pPr>
      <w:r>
        <w:rPr>
          <w:b/>
          <w:sz w:val="20"/>
          <w:szCs w:val="20"/>
        </w:rPr>
        <w:t>Figure 5: Group summary page for the AMSH protein</w:t>
      </w:r>
    </w:p>
    <w:p w14:paraId="41EE837D" w14:textId="77777777" w:rsidR="004573A9" w:rsidRDefault="004573A9"/>
    <w:p w14:paraId="76371E4F" w14:textId="77777777" w:rsidR="004573A9" w:rsidRDefault="00270C3C">
      <w:pPr>
        <w:numPr>
          <w:ilvl w:val="0"/>
          <w:numId w:val="7"/>
        </w:numPr>
        <w:pBdr>
          <w:top w:val="nil"/>
          <w:left w:val="nil"/>
          <w:bottom w:val="nil"/>
          <w:right w:val="nil"/>
          <w:between w:val="nil"/>
        </w:pBdr>
        <w:jc w:val="both"/>
      </w:pPr>
      <w:r>
        <w:t xml:space="preserve">Once the side-by-side panels open up you can </w:t>
      </w:r>
      <w:r>
        <w:rPr>
          <w:color w:val="000000"/>
        </w:rPr>
        <w:t xml:space="preserve">move your mouse to rotate the protein and </w:t>
      </w:r>
      <w:r>
        <w:t>see it</w:t>
      </w:r>
      <w:r>
        <w:rPr>
          <w:color w:val="000000"/>
        </w:rPr>
        <w:t xml:space="preserve"> from different angles. You can reset the molecule using the refresh button </w:t>
      </w:r>
      <w:r>
        <w:rPr>
          <w:noProof/>
          <w:color w:val="000000"/>
        </w:rPr>
        <w:drawing>
          <wp:inline distT="0" distB="0" distL="0" distR="0" wp14:anchorId="059A1B84" wp14:editId="041E4749">
            <wp:extent cx="279400" cy="20955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79400" cy="209550"/>
                    </a:xfrm>
                    <a:prstGeom prst="rect">
                      <a:avLst/>
                    </a:prstGeom>
                    <a:ln/>
                  </pic:spPr>
                </pic:pic>
              </a:graphicData>
            </a:graphic>
          </wp:inline>
        </w:drawing>
      </w:r>
      <w:r>
        <w:rPr>
          <w:color w:val="000000"/>
        </w:rPr>
        <w:t>on the top right.</w:t>
      </w:r>
    </w:p>
    <w:p w14:paraId="3B92BCFA" w14:textId="77777777" w:rsidR="004573A9" w:rsidRDefault="00270C3C">
      <w:pPr>
        <w:numPr>
          <w:ilvl w:val="0"/>
          <w:numId w:val="7"/>
        </w:numPr>
        <w:jc w:val="both"/>
      </w:pPr>
      <w:r>
        <w:lastRenderedPageBreak/>
        <w:t xml:space="preserve">Click on selection tool </w:t>
      </w:r>
      <w:r>
        <w:rPr>
          <w:noProof/>
        </w:rPr>
        <w:drawing>
          <wp:inline distT="0" distB="0" distL="0" distR="0" wp14:anchorId="18A17511" wp14:editId="0514D3D6">
            <wp:extent cx="241300" cy="2413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241300" cy="241300"/>
                    </a:xfrm>
                    <a:prstGeom prst="rect">
                      <a:avLst/>
                    </a:prstGeom>
                    <a:ln/>
                  </pic:spPr>
                </pic:pic>
              </a:graphicData>
            </a:graphic>
          </wp:inline>
        </w:drawing>
      </w:r>
      <w:r>
        <w:t xml:space="preserve">in the vertical menu of the Mol* viewer’s 3D-canvas which brings the following selection panel on the screen (at the top of the 3D canvas). Make sure that the leftmost criteria </w:t>
      </w:r>
      <w:proofErr w:type="gramStart"/>
      <w:r>
        <w:t>is</w:t>
      </w:r>
      <w:proofErr w:type="gramEnd"/>
      <w:r>
        <w:t xml:space="preserve"> set to “Chain” (labeled 1), not </w:t>
      </w:r>
      <w:r>
        <w:t>“Residue”.</w:t>
      </w:r>
    </w:p>
    <w:p w14:paraId="07689B77" w14:textId="77777777" w:rsidR="004573A9" w:rsidRDefault="00270C3C">
      <w:pPr>
        <w:numPr>
          <w:ilvl w:val="0"/>
          <w:numId w:val="7"/>
        </w:numPr>
        <w:pBdr>
          <w:top w:val="nil"/>
          <w:left w:val="nil"/>
          <w:bottom w:val="nil"/>
          <w:right w:val="nil"/>
          <w:between w:val="nil"/>
        </w:pBdr>
        <w:jc w:val="both"/>
      </w:pPr>
      <w:r>
        <w:rPr>
          <w:color w:val="000000"/>
        </w:rPr>
        <w:t>Click on the structure which highlights the entire structure. Then click on the paintbrush symbol (labeled 2) to choose color “Black” (labeled 3) and click “Apply Theme” (labeled 4)</w:t>
      </w:r>
      <w:r>
        <w:t xml:space="preserve"> in Figure 6.</w:t>
      </w:r>
    </w:p>
    <w:p w14:paraId="5320D322" w14:textId="77777777" w:rsidR="004573A9" w:rsidRDefault="00270C3C">
      <w:pPr>
        <w:rPr>
          <w:b/>
        </w:rPr>
      </w:pPr>
      <w:r>
        <w:rPr>
          <w:b/>
          <w:noProof/>
        </w:rPr>
        <w:drawing>
          <wp:inline distT="0" distB="0" distL="0" distR="0" wp14:anchorId="0B0F773C" wp14:editId="6B5DFF01">
            <wp:extent cx="3261293" cy="2521948"/>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3261293" cy="2521948"/>
                    </a:xfrm>
                    <a:prstGeom prst="rect">
                      <a:avLst/>
                    </a:prstGeom>
                    <a:ln/>
                  </pic:spPr>
                </pic:pic>
              </a:graphicData>
            </a:graphic>
          </wp:inline>
        </w:drawing>
      </w:r>
    </w:p>
    <w:p w14:paraId="2D50B451" w14:textId="77777777" w:rsidR="004573A9" w:rsidRDefault="00270C3C">
      <w:pPr>
        <w:rPr>
          <w:b/>
          <w:sz w:val="20"/>
          <w:szCs w:val="20"/>
        </w:rPr>
      </w:pPr>
      <w:r>
        <w:rPr>
          <w:b/>
          <w:sz w:val="20"/>
          <w:szCs w:val="20"/>
        </w:rPr>
        <w:t>Figure 6: Steps to color the protein chain in Mol*</w:t>
      </w:r>
    </w:p>
    <w:p w14:paraId="0C224FA9" w14:textId="77777777" w:rsidR="004573A9" w:rsidRDefault="00270C3C">
      <w:pPr>
        <w:numPr>
          <w:ilvl w:val="0"/>
          <w:numId w:val="7"/>
        </w:numPr>
        <w:pBdr>
          <w:top w:val="nil"/>
          <w:left w:val="nil"/>
          <w:bottom w:val="nil"/>
          <w:right w:val="nil"/>
          <w:between w:val="nil"/>
        </w:pBdr>
        <w:spacing w:after="0"/>
        <w:jc w:val="both"/>
      </w:pPr>
      <w:r>
        <w:rPr>
          <w:color w:val="000000"/>
        </w:rPr>
        <w:t xml:space="preserve">Refer to the domain map in Part II (Figure </w:t>
      </w:r>
      <w:r>
        <w:t>1</w:t>
      </w:r>
      <w:r>
        <w:rPr>
          <w:color w:val="000000"/>
        </w:rPr>
        <w:t xml:space="preserve">), select the residue ranges for each domain, and color them as shown in the domain map. For instance: </w:t>
      </w:r>
    </w:p>
    <w:p w14:paraId="1B56BDC5" w14:textId="77777777" w:rsidR="004573A9" w:rsidRDefault="00270C3C">
      <w:pPr>
        <w:numPr>
          <w:ilvl w:val="1"/>
          <w:numId w:val="7"/>
        </w:numPr>
        <w:pBdr>
          <w:top w:val="nil"/>
          <w:left w:val="nil"/>
          <w:bottom w:val="nil"/>
          <w:right w:val="nil"/>
          <w:between w:val="nil"/>
        </w:pBdr>
        <w:spacing w:after="0"/>
        <w:jc w:val="both"/>
      </w:pPr>
      <w:r>
        <w:rPr>
          <w:color w:val="000000"/>
        </w:rPr>
        <w:t xml:space="preserve">Set the leftmost criteria to “Residue”. </w:t>
      </w:r>
    </w:p>
    <w:p w14:paraId="69BAEAF5" w14:textId="77777777" w:rsidR="004573A9" w:rsidRDefault="00270C3C">
      <w:pPr>
        <w:numPr>
          <w:ilvl w:val="1"/>
          <w:numId w:val="7"/>
        </w:numPr>
        <w:pBdr>
          <w:top w:val="nil"/>
          <w:left w:val="nil"/>
          <w:bottom w:val="nil"/>
          <w:right w:val="nil"/>
          <w:between w:val="nil"/>
        </w:pBdr>
        <w:spacing w:after="0"/>
        <w:jc w:val="both"/>
      </w:pPr>
      <w:r>
        <w:t>C</w:t>
      </w:r>
      <w:r>
        <w:rPr>
          <w:color w:val="000000"/>
        </w:rPr>
        <w:t xml:space="preserve">lick on the residue number 1 followed by shift-clicking residue number 112. This will highlight the entire MIT domain. Color </w:t>
      </w:r>
      <w:proofErr w:type="gramStart"/>
      <w:r>
        <w:rPr>
          <w:color w:val="000000"/>
        </w:rPr>
        <w:t>it</w:t>
      </w:r>
      <w:proofErr w:type="gramEnd"/>
      <w:r>
        <w:rPr>
          <w:color w:val="000000"/>
        </w:rPr>
        <w:t xml:space="preserve"> red.</w:t>
      </w:r>
    </w:p>
    <w:p w14:paraId="42D4A247" w14:textId="77777777" w:rsidR="004573A9" w:rsidRDefault="00270C3C">
      <w:pPr>
        <w:numPr>
          <w:ilvl w:val="1"/>
          <w:numId w:val="7"/>
        </w:numPr>
        <w:pBdr>
          <w:top w:val="nil"/>
          <w:left w:val="nil"/>
          <w:bottom w:val="nil"/>
          <w:right w:val="nil"/>
          <w:between w:val="nil"/>
        </w:pBdr>
        <w:spacing w:after="0"/>
        <w:jc w:val="both"/>
      </w:pPr>
      <w:r>
        <w:rPr>
          <w:color w:val="000000"/>
        </w:rPr>
        <w:t>Follow similar steps to color the SBM</w:t>
      </w:r>
      <w:r>
        <w:t xml:space="preserve"> domain orange and</w:t>
      </w:r>
      <w:r>
        <w:rPr>
          <w:color w:val="000000"/>
        </w:rPr>
        <w:t xml:space="preserve"> JAMM domain</w:t>
      </w:r>
      <w:r>
        <w:t xml:space="preserve"> blue (to match the domain colors in Figure 1)</w:t>
      </w:r>
      <w:r>
        <w:rPr>
          <w:color w:val="000000"/>
        </w:rPr>
        <w:t>.</w:t>
      </w:r>
    </w:p>
    <w:p w14:paraId="72625F7F" w14:textId="77777777" w:rsidR="004573A9" w:rsidRDefault="004573A9">
      <w:pPr>
        <w:jc w:val="both"/>
      </w:pPr>
    </w:p>
    <w:p w14:paraId="42F685F2" w14:textId="77777777" w:rsidR="004573A9" w:rsidRDefault="00270C3C">
      <w:pPr>
        <w:jc w:val="both"/>
      </w:pPr>
      <w:r>
        <w:t>Q2: Ins</w:t>
      </w:r>
      <w:r>
        <w:t xml:space="preserve">ert the screen capture of the entire protein with domains/motifs shown in different colors here. Label the N- and C-terminal domains in this structure. </w:t>
      </w:r>
    </w:p>
    <w:p w14:paraId="067D63AB" w14:textId="77777777" w:rsidR="004573A9" w:rsidRDefault="004573A9">
      <w:pPr>
        <w:jc w:val="both"/>
      </w:pPr>
    </w:p>
    <w:p w14:paraId="136546EE" w14:textId="77777777" w:rsidR="004573A9" w:rsidRDefault="004573A9">
      <w:pPr>
        <w:jc w:val="both"/>
      </w:pPr>
    </w:p>
    <w:p w14:paraId="2F5EC798" w14:textId="77777777" w:rsidR="004573A9" w:rsidRDefault="004573A9">
      <w:pPr>
        <w:jc w:val="both"/>
      </w:pPr>
    </w:p>
    <w:p w14:paraId="621BCF5C" w14:textId="77777777" w:rsidR="004573A9" w:rsidRDefault="00270C3C">
      <w:pPr>
        <w:jc w:val="both"/>
      </w:pPr>
      <w:r>
        <w:lastRenderedPageBreak/>
        <w:t>Q3: Compare the predominant secondary structural elements between the MIT domain and JAMM domain.</w:t>
      </w:r>
    </w:p>
    <w:p w14:paraId="5FEEDEA7" w14:textId="77777777" w:rsidR="004573A9" w:rsidRDefault="004573A9">
      <w:pPr>
        <w:jc w:val="both"/>
        <w:rPr>
          <w:color w:val="FF0000"/>
        </w:rPr>
      </w:pPr>
    </w:p>
    <w:p w14:paraId="69E08B86" w14:textId="77777777" w:rsidR="004573A9" w:rsidRDefault="004573A9">
      <w:pPr>
        <w:jc w:val="both"/>
        <w:rPr>
          <w:color w:val="FF0000"/>
        </w:rPr>
      </w:pPr>
    </w:p>
    <w:p w14:paraId="6655923B" w14:textId="77777777" w:rsidR="004573A9" w:rsidRDefault="00270C3C">
      <w:pPr>
        <w:jc w:val="both"/>
      </w:pPr>
      <w:r>
        <w:t>Since the JAMM domain of AMSH is involved in binding to a polyubiquitin chain and cleaving the chain, Daisy was interested in visualizing how the JAMM domain binds to ubiquitin chain. Unfortunately, her initial search of the PDB archive did not find any st</w:t>
      </w:r>
      <w:r>
        <w:t>ructure where the catalytic domain of human AMSH was bound to Ubiquitin. Daisy remembered that her Biochemistry professor had explained how scientists frequently studied the structures of proteins from model organisms to learn about the structure and funct</w:t>
      </w:r>
      <w:r>
        <w:t xml:space="preserve">ion of a human protein. </w:t>
      </w:r>
    </w:p>
    <w:p w14:paraId="7BD7D99E" w14:textId="77777777" w:rsidR="004573A9" w:rsidRDefault="00270C3C">
      <w:pPr>
        <w:jc w:val="both"/>
      </w:pPr>
      <w:r>
        <w:t xml:space="preserve">While exploring the PDB, Daisy had come across the structure of a yeast AMSH protein, referred to as Sst2. There was a structure of Sst2 bound to a Lys-63 linked </w:t>
      </w:r>
      <w:proofErr w:type="spellStart"/>
      <w:r>
        <w:t>diubiquitin</w:t>
      </w:r>
      <w:proofErr w:type="spellEnd"/>
      <w:r>
        <w:t xml:space="preserve"> chain. However, before looking at the crystal structure, </w:t>
      </w:r>
      <w:r>
        <w:t xml:space="preserve">Daisy decided to compare the sequence of the human AMSH and yeast Sst2 proteins to see if they were closely related. If so, she could use the yeast protein structure as a model for the human one. </w:t>
      </w:r>
    </w:p>
    <w:p w14:paraId="22C469BA" w14:textId="77777777" w:rsidR="004573A9" w:rsidRDefault="00270C3C">
      <w:pPr>
        <w:pStyle w:val="Heading3"/>
        <w:jc w:val="both"/>
      </w:pPr>
      <w:bookmarkStart w:id="25" w:name="_ektce2s8janj" w:colFirst="0" w:colLast="0"/>
      <w:bookmarkEnd w:id="25"/>
      <w:r>
        <w:t>Comparing</w:t>
      </w:r>
      <w:r>
        <w:t xml:space="preserve"> </w:t>
      </w:r>
      <w:r>
        <w:t xml:space="preserve">JAMM domain </w:t>
      </w:r>
      <w:r>
        <w:t>primary structures</w:t>
      </w:r>
      <w:r>
        <w:t xml:space="preserve"> (</w:t>
      </w:r>
      <w:r>
        <w:t xml:space="preserve">human AMSH </w:t>
      </w:r>
      <w:r>
        <w:t>vs</w:t>
      </w:r>
      <w:r>
        <w:t xml:space="preserve"> yeast Sst2) </w:t>
      </w:r>
    </w:p>
    <w:p w14:paraId="6418CAA0" w14:textId="77777777" w:rsidR="004573A9" w:rsidRDefault="00270C3C">
      <w:pPr>
        <w:numPr>
          <w:ilvl w:val="0"/>
          <w:numId w:val="5"/>
        </w:numPr>
        <w:jc w:val="both"/>
      </w:pPr>
      <w:r>
        <w:t>Go to</w:t>
      </w:r>
      <w:hyperlink r:id="rId24">
        <w:r>
          <w:rPr>
            <w:color w:val="467886"/>
            <w:u w:val="single"/>
          </w:rPr>
          <w:t xml:space="preserve"> http://www.uniprot.org</w:t>
        </w:r>
      </w:hyperlink>
    </w:p>
    <w:p w14:paraId="262255F6" w14:textId="77777777" w:rsidR="004573A9" w:rsidRDefault="00270C3C">
      <w:pPr>
        <w:numPr>
          <w:ilvl w:val="0"/>
          <w:numId w:val="5"/>
        </w:numPr>
        <w:jc w:val="both"/>
      </w:pPr>
      <w:r>
        <w:t>In the search field, enter “human AMSH” and check the box next to entry O95630 to select it. This sequence should now be added to the selection (see basket i</w:t>
      </w:r>
      <w:r>
        <w:t>con on top right of the page)</w:t>
      </w:r>
    </w:p>
    <w:p w14:paraId="0E487F2F" w14:textId="77777777" w:rsidR="004573A9" w:rsidRDefault="00270C3C">
      <w:pPr>
        <w:numPr>
          <w:ilvl w:val="0"/>
          <w:numId w:val="5"/>
        </w:numPr>
        <w:jc w:val="both"/>
      </w:pPr>
      <w:r>
        <w:t xml:space="preserve">Then enter “Sst2” in the search field and from the results returned, check the box next to AMSH-like protease sst2 from </w:t>
      </w:r>
      <w:proofErr w:type="spellStart"/>
      <w:r>
        <w:rPr>
          <w:i/>
        </w:rPr>
        <w:t>Schizosaccharomyces</w:t>
      </w:r>
      <w:proofErr w:type="spellEnd"/>
      <w:r>
        <w:rPr>
          <w:i/>
        </w:rPr>
        <w:t xml:space="preserve"> pombe</w:t>
      </w:r>
      <w:r>
        <w:t xml:space="preserve"> (Q9P371, labeled 1) then click on “Add” (labeled 2) - see Figure 7</w:t>
      </w:r>
    </w:p>
    <w:p w14:paraId="0E43E620" w14:textId="77777777" w:rsidR="004573A9" w:rsidRDefault="00270C3C">
      <w:pPr>
        <w:ind w:left="720"/>
        <w:jc w:val="both"/>
        <w:rPr>
          <w:b/>
          <w:sz w:val="20"/>
          <w:szCs w:val="20"/>
        </w:rPr>
      </w:pPr>
      <w:r>
        <w:rPr>
          <w:b/>
          <w:sz w:val="20"/>
          <w:szCs w:val="20"/>
        </w:rPr>
        <w:t>Figure 7: Sel</w:t>
      </w:r>
      <w:r>
        <w:rPr>
          <w:b/>
          <w:sz w:val="20"/>
          <w:szCs w:val="20"/>
        </w:rPr>
        <w:t>ecting the human AMSH and yeast Sst2 proteins for sequence comparison.</w:t>
      </w:r>
      <w:r>
        <w:rPr>
          <w:noProof/>
        </w:rPr>
        <w:drawing>
          <wp:anchor distT="0" distB="0" distL="0" distR="0" simplePos="0" relativeHeight="251658240" behindDoc="0" locked="0" layoutInCell="1" hidden="0" allowOverlap="1" wp14:anchorId="100CAAC6" wp14:editId="51002680">
            <wp:simplePos x="0" y="0"/>
            <wp:positionH relativeFrom="column">
              <wp:posOffset>457200</wp:posOffset>
            </wp:positionH>
            <wp:positionV relativeFrom="paragraph">
              <wp:posOffset>0</wp:posOffset>
            </wp:positionV>
            <wp:extent cx="5486400" cy="1311593"/>
            <wp:effectExtent l="0" t="0" r="0" b="0"/>
            <wp:wrapTopAndBottom distT="0" distB="0"/>
            <wp:docPr id="12" name="image1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screenshot of a computer&#10;&#10;Description automatically generated"/>
                    <pic:cNvPicPr preferRelativeResize="0"/>
                  </pic:nvPicPr>
                  <pic:blipFill>
                    <a:blip r:embed="rId25"/>
                    <a:srcRect/>
                    <a:stretch>
                      <a:fillRect/>
                    </a:stretch>
                  </pic:blipFill>
                  <pic:spPr>
                    <a:xfrm>
                      <a:off x="0" y="0"/>
                      <a:ext cx="5486400" cy="1311593"/>
                    </a:xfrm>
                    <a:prstGeom prst="rect">
                      <a:avLst/>
                    </a:prstGeom>
                    <a:ln/>
                  </pic:spPr>
                </pic:pic>
              </a:graphicData>
            </a:graphic>
          </wp:anchor>
        </w:drawing>
      </w:r>
    </w:p>
    <w:p w14:paraId="5DE00801" w14:textId="77777777" w:rsidR="004573A9" w:rsidRDefault="00270C3C">
      <w:pPr>
        <w:numPr>
          <w:ilvl w:val="0"/>
          <w:numId w:val="5"/>
        </w:numPr>
        <w:jc w:val="both"/>
      </w:pPr>
      <w:r>
        <w:lastRenderedPageBreak/>
        <w:t>Click on the “Tools” icon on the left corner of the page and click “align” (labeled 3) from the dropdown menu. Then click “run align” on the bottom right corner of the page.</w:t>
      </w:r>
    </w:p>
    <w:p w14:paraId="769FF8E9" w14:textId="77777777" w:rsidR="004573A9" w:rsidRDefault="00270C3C">
      <w:pPr>
        <w:numPr>
          <w:ilvl w:val="0"/>
          <w:numId w:val="5"/>
        </w:numPr>
        <w:pBdr>
          <w:top w:val="nil"/>
          <w:left w:val="nil"/>
          <w:bottom w:val="nil"/>
          <w:right w:val="nil"/>
          <w:between w:val="nil"/>
        </w:pBdr>
        <w:spacing w:after="0"/>
        <w:jc w:val="both"/>
      </w:pPr>
      <w:r>
        <w:rPr>
          <w:color w:val="000000"/>
        </w:rPr>
        <w:t xml:space="preserve">After the </w:t>
      </w:r>
      <w:r>
        <w:rPr>
          <w:color w:val="000000"/>
        </w:rPr>
        <w:t>alignment is completed, click on the word “completed” under the “status” column.</w:t>
      </w:r>
    </w:p>
    <w:p w14:paraId="721CE7B8" w14:textId="77777777" w:rsidR="004573A9" w:rsidRDefault="00270C3C">
      <w:pPr>
        <w:numPr>
          <w:ilvl w:val="0"/>
          <w:numId w:val="5"/>
        </w:numPr>
        <w:pBdr>
          <w:top w:val="nil"/>
          <w:left w:val="nil"/>
          <w:bottom w:val="nil"/>
          <w:right w:val="nil"/>
          <w:between w:val="nil"/>
        </w:pBdr>
        <w:jc w:val="both"/>
      </w:pPr>
      <w:r>
        <w:rPr>
          <w:color w:val="000000"/>
        </w:rPr>
        <w:t>Next to the “view”, click on the “wrapped” option, not “continuous</w:t>
      </w:r>
      <w:r>
        <w:t>.”</w:t>
      </w:r>
    </w:p>
    <w:p w14:paraId="59F27F65" w14:textId="77777777" w:rsidR="004573A9" w:rsidRDefault="00270C3C">
      <w:pPr>
        <w:jc w:val="both"/>
      </w:pPr>
      <w:r>
        <w:rPr>
          <w:b/>
        </w:rPr>
        <w:t> </w:t>
      </w:r>
      <w:r>
        <w:t>Q1: Take a screenshot of the displayed alignment and paste below.</w:t>
      </w:r>
    </w:p>
    <w:p w14:paraId="470E21C7" w14:textId="293DF587" w:rsidR="004573A9" w:rsidRDefault="004573A9"/>
    <w:p w14:paraId="4900FCEE" w14:textId="734CE57D" w:rsidR="00A672DF" w:rsidRDefault="00A672DF"/>
    <w:p w14:paraId="680CF454" w14:textId="77777777" w:rsidR="00A672DF" w:rsidRDefault="00A672DF"/>
    <w:p w14:paraId="0432B234" w14:textId="77777777" w:rsidR="004573A9" w:rsidRDefault="00270C3C">
      <w:pPr>
        <w:pBdr>
          <w:top w:val="nil"/>
          <w:left w:val="nil"/>
          <w:bottom w:val="nil"/>
          <w:right w:val="nil"/>
          <w:between w:val="nil"/>
        </w:pBdr>
        <w:jc w:val="both"/>
      </w:pPr>
      <w:r>
        <w:t>Note the following:</w:t>
      </w:r>
    </w:p>
    <w:p w14:paraId="27EB1F60" w14:textId="77777777" w:rsidR="004573A9" w:rsidRDefault="00270C3C">
      <w:pPr>
        <w:numPr>
          <w:ilvl w:val="0"/>
          <w:numId w:val="3"/>
        </w:numPr>
        <w:pBdr>
          <w:top w:val="nil"/>
          <w:left w:val="nil"/>
          <w:bottom w:val="nil"/>
          <w:right w:val="nil"/>
          <w:between w:val="nil"/>
        </w:pBdr>
        <w:spacing w:after="0"/>
        <w:jc w:val="both"/>
      </w:pPr>
      <w:r>
        <w:t xml:space="preserve">The top row shows the amino acid sequence of the human AMSH protein, while the bottom line shows that of the yeast Sst2. </w:t>
      </w:r>
    </w:p>
    <w:p w14:paraId="021F7F58" w14:textId="77777777" w:rsidR="004573A9" w:rsidRDefault="00270C3C">
      <w:pPr>
        <w:numPr>
          <w:ilvl w:val="0"/>
          <w:numId w:val="3"/>
        </w:numPr>
        <w:pBdr>
          <w:top w:val="nil"/>
          <w:left w:val="nil"/>
          <w:bottom w:val="nil"/>
          <w:right w:val="nil"/>
          <w:between w:val="nil"/>
        </w:pBdr>
        <w:jc w:val="both"/>
      </w:pPr>
      <w:r>
        <w:t xml:space="preserve">The amino acids 257-388 in the human AMSH, form the JAMM domain. (i.e., are conserved from yeast to humans. </w:t>
      </w:r>
    </w:p>
    <w:p w14:paraId="0D6501CD" w14:textId="77777777" w:rsidR="004573A9" w:rsidRDefault="00270C3C">
      <w:pPr>
        <w:pBdr>
          <w:top w:val="nil"/>
          <w:left w:val="nil"/>
          <w:bottom w:val="nil"/>
          <w:right w:val="nil"/>
          <w:between w:val="nil"/>
        </w:pBdr>
        <w:jc w:val="both"/>
      </w:pPr>
      <w:r>
        <w:t>One amino acid mutation t</w:t>
      </w:r>
      <w:r>
        <w:t>hat causes MIC-CAP syndrome is Thr313Ile (or T313I).</w:t>
      </w:r>
    </w:p>
    <w:p w14:paraId="7702DD1A" w14:textId="77777777" w:rsidR="004573A9" w:rsidRDefault="004573A9">
      <w:pPr>
        <w:rPr>
          <w:color w:val="FF0000"/>
        </w:rPr>
      </w:pPr>
    </w:p>
    <w:p w14:paraId="43E9382A" w14:textId="77777777" w:rsidR="004573A9" w:rsidRDefault="00270C3C">
      <w:pPr>
        <w:jc w:val="both"/>
      </w:pPr>
      <w:r>
        <w:t>Q2: What is the corresponding amino acid in the yeast Sst2 protein? Is residue the same or different? Write the residue number for Sst2.</w:t>
      </w:r>
    </w:p>
    <w:p w14:paraId="651C77B3" w14:textId="77777777" w:rsidR="004573A9" w:rsidRDefault="004573A9"/>
    <w:p w14:paraId="10290312" w14:textId="77777777" w:rsidR="004573A9" w:rsidRDefault="004573A9">
      <w:pPr>
        <w:rPr>
          <w:color w:val="156082"/>
        </w:rPr>
      </w:pPr>
    </w:p>
    <w:p w14:paraId="10677261" w14:textId="77777777" w:rsidR="004573A9" w:rsidRDefault="00270C3C">
      <w:pPr>
        <w:pStyle w:val="Heading2"/>
      </w:pPr>
      <w:bookmarkStart w:id="26" w:name="_y2xixs4bni24" w:colFirst="0" w:colLast="0"/>
      <w:bookmarkEnd w:id="26"/>
      <w:r>
        <w:t>Part IV: Connecting structure to function</w:t>
      </w:r>
    </w:p>
    <w:p w14:paraId="6B9BA67D" w14:textId="77777777" w:rsidR="004573A9" w:rsidRDefault="00270C3C">
      <w:pPr>
        <w:jc w:val="both"/>
      </w:pPr>
      <w:r>
        <w:t>After discovering tha</w:t>
      </w:r>
      <w:r>
        <w:t xml:space="preserve">t Sst2 and AMSH have similar catalytic JAMM domains, Daisy decided to explore Sst2 bound to ubiquitin structure since the structure of AMSH bound to ubiquitin was not known. </w:t>
      </w:r>
    </w:p>
    <w:p w14:paraId="4D4EEC8A" w14:textId="77777777" w:rsidR="004573A9" w:rsidRDefault="00270C3C">
      <w:pPr>
        <w:pStyle w:val="Heading3"/>
      </w:pPr>
      <w:bookmarkStart w:id="27" w:name="_pcl1w9bfm3lp" w:colFirst="0" w:colLast="0"/>
      <w:bookmarkEnd w:id="27"/>
      <w:r>
        <w:t>Exploring the JAMM domain of Sst2 bound to ubiquitin. </w:t>
      </w:r>
    </w:p>
    <w:p w14:paraId="67D54FF5" w14:textId="77777777" w:rsidR="004573A9" w:rsidRDefault="00270C3C">
      <w:pPr>
        <w:numPr>
          <w:ilvl w:val="0"/>
          <w:numId w:val="6"/>
        </w:numPr>
        <w:jc w:val="both"/>
      </w:pPr>
      <w:r>
        <w:t>Go to the RCSB Protein Data Bank (</w:t>
      </w:r>
      <w:hyperlink r:id="rId26">
        <w:r>
          <w:rPr>
            <w:color w:val="467886"/>
            <w:u w:val="single"/>
          </w:rPr>
          <w:t>https://www.rcsb.org/</w:t>
        </w:r>
      </w:hyperlink>
      <w:r>
        <w:t xml:space="preserve">). In the query box at the top of the webpage, input “Sst2” and search for the structure in complex with </w:t>
      </w:r>
      <w:r>
        <w:t xml:space="preserve">Lys63-linked </w:t>
      </w:r>
      <w:proofErr w:type="spellStart"/>
      <w:r>
        <w:t>diubiquitin</w:t>
      </w:r>
      <w:proofErr w:type="spellEnd"/>
      <w:r>
        <w:t>. Use the information presented on the structure summary page for each structure to fill out the following table.</w:t>
      </w:r>
    </w:p>
    <w:p w14:paraId="7D69646F" w14:textId="77777777" w:rsidR="004573A9" w:rsidRDefault="00270C3C">
      <w:pPr>
        <w:jc w:val="both"/>
      </w:pPr>
      <w:r>
        <w:lastRenderedPageBreak/>
        <w:t>Q1. Fill out the following table:</w:t>
      </w:r>
    </w:p>
    <w:p w14:paraId="4F3EEEE2" w14:textId="77777777" w:rsidR="004573A9" w:rsidRDefault="00270C3C">
      <w:r>
        <w:t>Table 2: PDB summary at a glance for Sst2-Ub complex.</w:t>
      </w:r>
    </w:p>
    <w:tbl>
      <w:tblPr>
        <w:tblStyle w:val="a0"/>
        <w:tblW w:w="9340" w:type="dxa"/>
        <w:tblInd w:w="0" w:type="dxa"/>
        <w:tblLayout w:type="fixed"/>
        <w:tblLook w:val="0400" w:firstRow="0" w:lastRow="0" w:firstColumn="0" w:lastColumn="0" w:noHBand="0" w:noVBand="1"/>
      </w:tblPr>
      <w:tblGrid>
        <w:gridCol w:w="5210"/>
        <w:gridCol w:w="4130"/>
      </w:tblGrid>
      <w:tr w:rsidR="004573A9" w14:paraId="3624F972" w14:textId="77777777">
        <w:trPr>
          <w:trHeight w:val="480"/>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F37FB" w14:textId="77777777" w:rsidR="004573A9" w:rsidRDefault="00270C3C">
            <w:r>
              <w:rPr>
                <w:b/>
              </w:rPr>
              <w:t>PDB ID</w:t>
            </w:r>
          </w:p>
        </w:tc>
        <w:tc>
          <w:tcPr>
            <w:tcW w:w="41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F376E5" w14:textId="77777777" w:rsidR="004573A9" w:rsidRDefault="00270C3C">
            <w:pPr>
              <w:rPr>
                <w:color w:val="FF0000"/>
              </w:rPr>
            </w:pPr>
            <w:r>
              <w:rPr>
                <w:b/>
                <w:color w:val="FF0000"/>
              </w:rPr>
              <w:t> </w:t>
            </w:r>
          </w:p>
        </w:tc>
      </w:tr>
      <w:tr w:rsidR="004573A9" w14:paraId="3D83E97A" w14:textId="77777777">
        <w:trPr>
          <w:trHeight w:val="480"/>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2647A" w14:textId="77777777" w:rsidR="004573A9" w:rsidRDefault="00270C3C">
            <w:pPr>
              <w:rPr>
                <w:b/>
              </w:rPr>
            </w:pPr>
            <w:r>
              <w:rPr>
                <w:b/>
              </w:rPr>
              <w:t>Description</w:t>
            </w:r>
          </w:p>
          <w:p w14:paraId="7C5582E5" w14:textId="77777777" w:rsidR="004573A9" w:rsidRDefault="00270C3C">
            <w:pPr>
              <w:rPr>
                <w:sz w:val="20"/>
                <w:szCs w:val="20"/>
              </w:rPr>
            </w:pPr>
            <w:r>
              <w:rPr>
                <w:sz w:val="20"/>
                <w:szCs w:val="20"/>
              </w:rPr>
              <w:t xml:space="preserve">You can </w:t>
            </w:r>
            <w:r>
              <w:rPr>
                <w:sz w:val="20"/>
                <w:szCs w:val="20"/>
              </w:rPr>
              <w:t>include the title of the PDB</w:t>
            </w:r>
          </w:p>
        </w:tc>
        <w:tc>
          <w:tcPr>
            <w:tcW w:w="41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78B7E94" w14:textId="77777777" w:rsidR="004573A9" w:rsidRDefault="004573A9">
            <w:pPr>
              <w:rPr>
                <w:color w:val="FF0000"/>
              </w:rPr>
            </w:pPr>
          </w:p>
        </w:tc>
      </w:tr>
      <w:tr w:rsidR="004573A9" w14:paraId="764D4CF2" w14:textId="77777777">
        <w:trPr>
          <w:trHeight w:val="480"/>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0D4F3" w14:textId="77777777" w:rsidR="004573A9" w:rsidRDefault="00270C3C">
            <w:r>
              <w:rPr>
                <w:b/>
              </w:rPr>
              <w:t>Organism(s)</w:t>
            </w:r>
          </w:p>
        </w:tc>
        <w:tc>
          <w:tcPr>
            <w:tcW w:w="41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1629C6" w14:textId="77777777" w:rsidR="004573A9" w:rsidRDefault="004573A9">
            <w:pPr>
              <w:rPr>
                <w:color w:val="FF0000"/>
              </w:rPr>
            </w:pPr>
          </w:p>
        </w:tc>
      </w:tr>
      <w:tr w:rsidR="004573A9" w14:paraId="408EE7D2" w14:textId="77777777">
        <w:trPr>
          <w:trHeight w:val="1260"/>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DCCB7" w14:textId="77777777" w:rsidR="004573A9" w:rsidRDefault="00270C3C">
            <w:r>
              <w:rPr>
                <w:b/>
              </w:rPr>
              <w:t>Structure of the biological assembly</w:t>
            </w:r>
          </w:p>
          <w:p w14:paraId="70F33210" w14:textId="77777777" w:rsidR="004573A9" w:rsidRDefault="00270C3C">
            <w:pPr>
              <w:rPr>
                <w:sz w:val="20"/>
                <w:szCs w:val="20"/>
              </w:rPr>
            </w:pPr>
            <w:r>
              <w:rPr>
                <w:sz w:val="20"/>
                <w:szCs w:val="20"/>
              </w:rPr>
              <w:t>You can find this info under the “Biological Assembly” section in the “global Stoichiometry” subheading</w:t>
            </w:r>
          </w:p>
        </w:tc>
        <w:tc>
          <w:tcPr>
            <w:tcW w:w="41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D488BF" w14:textId="77777777" w:rsidR="004573A9" w:rsidRDefault="00270C3C">
            <w:pPr>
              <w:rPr>
                <w:color w:val="FF0000"/>
              </w:rPr>
            </w:pPr>
            <w:r>
              <w:rPr>
                <w:color w:val="FF0000"/>
              </w:rPr>
              <w:t> </w:t>
            </w:r>
          </w:p>
        </w:tc>
      </w:tr>
      <w:tr w:rsidR="004573A9" w14:paraId="4D228D85" w14:textId="77777777">
        <w:trPr>
          <w:trHeight w:val="1035"/>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0345D" w14:textId="77777777" w:rsidR="004573A9" w:rsidRDefault="00270C3C">
            <w:proofErr w:type="spellStart"/>
            <w:r>
              <w:rPr>
                <w:b/>
              </w:rPr>
              <w:t>UniProt</w:t>
            </w:r>
            <w:proofErr w:type="spellEnd"/>
            <w:r>
              <w:rPr>
                <w:b/>
              </w:rPr>
              <w:t xml:space="preserve"> Group</w:t>
            </w:r>
          </w:p>
          <w:p w14:paraId="16C59BCB" w14:textId="77777777" w:rsidR="004573A9" w:rsidRDefault="00270C3C">
            <w:pPr>
              <w:rPr>
                <w:sz w:val="20"/>
                <w:szCs w:val="20"/>
              </w:rPr>
            </w:pPr>
            <w:r>
              <w:rPr>
                <w:sz w:val="20"/>
                <w:szCs w:val="20"/>
              </w:rPr>
              <w:t>You can find this info under the “macromolecules” section</w:t>
            </w:r>
          </w:p>
        </w:tc>
        <w:tc>
          <w:tcPr>
            <w:tcW w:w="41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F68394" w14:textId="77777777" w:rsidR="004573A9" w:rsidRDefault="00270C3C">
            <w:pPr>
              <w:rPr>
                <w:color w:val="FF0000"/>
              </w:rPr>
            </w:pPr>
            <w:r>
              <w:rPr>
                <w:color w:val="FF0000"/>
              </w:rPr>
              <w:t> </w:t>
            </w:r>
          </w:p>
        </w:tc>
      </w:tr>
      <w:tr w:rsidR="004573A9" w14:paraId="4908581C" w14:textId="77777777">
        <w:trPr>
          <w:trHeight w:val="1260"/>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C0F78" w14:textId="77777777" w:rsidR="004573A9" w:rsidRDefault="00270C3C">
            <w:r>
              <w:rPr>
                <w:b/>
              </w:rPr>
              <w:t>Names of molecules present in the structures.</w:t>
            </w:r>
          </w:p>
          <w:p w14:paraId="1B0A3481" w14:textId="77777777" w:rsidR="004573A9" w:rsidRDefault="00270C3C">
            <w:pPr>
              <w:rPr>
                <w:sz w:val="20"/>
                <w:szCs w:val="20"/>
              </w:rPr>
            </w:pPr>
            <w:r>
              <w:rPr>
                <w:sz w:val="20"/>
                <w:szCs w:val="20"/>
              </w:rPr>
              <w:t>You can find this under the “macromolecules” section as entity ID</w:t>
            </w:r>
          </w:p>
        </w:tc>
        <w:tc>
          <w:tcPr>
            <w:tcW w:w="41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8CFE65" w14:textId="77777777" w:rsidR="004573A9" w:rsidRDefault="004573A9">
            <w:pPr>
              <w:rPr>
                <w:color w:val="FF0000"/>
              </w:rPr>
            </w:pPr>
          </w:p>
        </w:tc>
      </w:tr>
    </w:tbl>
    <w:p w14:paraId="602907E8" w14:textId="77777777" w:rsidR="004573A9" w:rsidRDefault="004573A9">
      <w:pPr>
        <w:ind w:left="720"/>
      </w:pPr>
    </w:p>
    <w:p w14:paraId="2121320A" w14:textId="77777777" w:rsidR="004573A9" w:rsidRDefault="00270C3C">
      <w:r>
        <w:t>Visualize this structure and its components. Color each polymer chain in a diffe</w:t>
      </w:r>
      <w:r>
        <w:t xml:space="preserve">rent color of your choice and examine their interactions using the following steps: </w:t>
      </w:r>
    </w:p>
    <w:p w14:paraId="11896C8C" w14:textId="77777777" w:rsidR="004573A9" w:rsidRDefault="00270C3C">
      <w:pPr>
        <w:numPr>
          <w:ilvl w:val="0"/>
          <w:numId w:val="6"/>
        </w:numPr>
        <w:spacing w:after="0"/>
      </w:pPr>
      <w:r>
        <w:t>Click on the structure (labeled 1). It will take you to the Mol*canvas (Figure 8).</w:t>
      </w:r>
    </w:p>
    <w:p w14:paraId="6015F233" w14:textId="77777777" w:rsidR="004573A9" w:rsidRDefault="00270C3C">
      <w:pPr>
        <w:numPr>
          <w:ilvl w:val="0"/>
          <w:numId w:val="6"/>
        </w:numPr>
        <w:jc w:val="both"/>
      </w:pPr>
      <w:r>
        <w:t>On the Mol* viewer canvas, go under the “Components” (labeled 2) panel on the right, hide water (labeled 3) in Figure 8.</w:t>
      </w:r>
    </w:p>
    <w:p w14:paraId="44F98956" w14:textId="77777777" w:rsidR="004573A9" w:rsidRDefault="00270C3C">
      <w:pPr>
        <w:ind w:left="720"/>
      </w:pPr>
      <w:r>
        <w:rPr>
          <w:noProof/>
        </w:rPr>
        <w:lastRenderedPageBreak/>
        <w:drawing>
          <wp:inline distT="0" distB="0" distL="0" distR="0" wp14:anchorId="4E44706B" wp14:editId="3299A1B2">
            <wp:extent cx="4572000" cy="2216258"/>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4572000" cy="2216258"/>
                    </a:xfrm>
                    <a:prstGeom prst="rect">
                      <a:avLst/>
                    </a:prstGeom>
                    <a:ln/>
                  </pic:spPr>
                </pic:pic>
              </a:graphicData>
            </a:graphic>
          </wp:inline>
        </w:drawing>
      </w:r>
    </w:p>
    <w:p w14:paraId="341676EB" w14:textId="77777777" w:rsidR="004573A9" w:rsidRDefault="00270C3C">
      <w:pPr>
        <w:ind w:left="720"/>
        <w:rPr>
          <w:b/>
          <w:sz w:val="20"/>
          <w:szCs w:val="20"/>
        </w:rPr>
      </w:pPr>
      <w:r>
        <w:rPr>
          <w:b/>
          <w:sz w:val="20"/>
          <w:szCs w:val="20"/>
        </w:rPr>
        <w:t>Figure 8: Visualizing the structure of Sst2 bound to ubiquitin.</w:t>
      </w:r>
    </w:p>
    <w:p w14:paraId="5CDCE492" w14:textId="77777777" w:rsidR="004573A9" w:rsidRDefault="00270C3C">
      <w:pPr>
        <w:numPr>
          <w:ilvl w:val="0"/>
          <w:numId w:val="6"/>
        </w:numPr>
        <w:jc w:val="both"/>
      </w:pPr>
      <w:r>
        <w:t xml:space="preserve">Click on selection mode </w:t>
      </w:r>
      <w:r>
        <w:rPr>
          <w:noProof/>
        </w:rPr>
        <w:drawing>
          <wp:inline distT="0" distB="0" distL="0" distR="0" wp14:anchorId="4ADD07EC" wp14:editId="1C85D5E8">
            <wp:extent cx="241300" cy="2413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241300" cy="241300"/>
                    </a:xfrm>
                    <a:prstGeom prst="rect">
                      <a:avLst/>
                    </a:prstGeom>
                    <a:ln/>
                  </pic:spPr>
                </pic:pic>
              </a:graphicData>
            </a:graphic>
          </wp:inline>
        </w:drawing>
      </w:r>
      <w:r>
        <w:t xml:space="preserve"> (labeled 2 in Figure 8) and bring the following selection panel on the screen. Change the leftmost selection criteria “Residue” to “Chain.”</w:t>
      </w:r>
    </w:p>
    <w:p w14:paraId="21398EA8" w14:textId="77777777" w:rsidR="004573A9" w:rsidRDefault="00270C3C">
      <w:pPr>
        <w:numPr>
          <w:ilvl w:val="0"/>
          <w:numId w:val="6"/>
        </w:numPr>
      </w:pPr>
      <w:r>
        <w:t>Make sure that the topmost blue banner information is set as shown below:</w:t>
      </w:r>
    </w:p>
    <w:p w14:paraId="38227FCD" w14:textId="77777777" w:rsidR="004573A9" w:rsidRDefault="00270C3C">
      <w:pPr>
        <w:ind w:left="720" w:hanging="360"/>
      </w:pPr>
      <w:r>
        <w:rPr>
          <w:noProof/>
        </w:rPr>
        <w:drawing>
          <wp:inline distT="0" distB="0" distL="0" distR="0" wp14:anchorId="556BF1B5" wp14:editId="29249116">
            <wp:extent cx="5486400" cy="798755"/>
            <wp:effectExtent l="0" t="0" r="0" b="0"/>
            <wp:docPr id="19" name="image1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screenshot of a computer&#10;&#10;Description automatically generated"/>
                    <pic:cNvPicPr preferRelativeResize="0"/>
                  </pic:nvPicPr>
                  <pic:blipFill>
                    <a:blip r:embed="rId28"/>
                    <a:srcRect/>
                    <a:stretch>
                      <a:fillRect/>
                    </a:stretch>
                  </pic:blipFill>
                  <pic:spPr>
                    <a:xfrm>
                      <a:off x="0" y="0"/>
                      <a:ext cx="5486400" cy="798755"/>
                    </a:xfrm>
                    <a:prstGeom prst="rect">
                      <a:avLst/>
                    </a:prstGeom>
                    <a:ln/>
                  </pic:spPr>
                </pic:pic>
              </a:graphicData>
            </a:graphic>
          </wp:inline>
        </w:drawing>
      </w:r>
    </w:p>
    <w:p w14:paraId="1E8D9ADD" w14:textId="77777777" w:rsidR="004573A9" w:rsidRDefault="00270C3C">
      <w:pPr>
        <w:ind w:left="720" w:hanging="360"/>
        <w:rPr>
          <w:b/>
          <w:sz w:val="20"/>
          <w:szCs w:val="20"/>
        </w:rPr>
      </w:pPr>
      <w:r>
        <w:rPr>
          <w:b/>
          <w:sz w:val="20"/>
          <w:szCs w:val="20"/>
        </w:rPr>
        <w:t>Figure 9. Selecting the chains of inter</w:t>
      </w:r>
      <w:r>
        <w:rPr>
          <w:b/>
          <w:sz w:val="20"/>
          <w:szCs w:val="20"/>
        </w:rPr>
        <w:t>est in Mol*</w:t>
      </w:r>
    </w:p>
    <w:p w14:paraId="397ADD63" w14:textId="77777777" w:rsidR="004573A9" w:rsidRDefault="00270C3C">
      <w:pPr>
        <w:numPr>
          <w:ilvl w:val="0"/>
          <w:numId w:val="6"/>
        </w:numPr>
        <w:jc w:val="both"/>
      </w:pPr>
      <w:r>
        <w:t>Click on the sequence (labeled 1 in Figure 10) and the entire AMSH-like protease should highlight. Click on the paintbrush symbol to choose color “Blue” and click “Apply Theme”. </w:t>
      </w:r>
    </w:p>
    <w:p w14:paraId="398BF548" w14:textId="77777777" w:rsidR="004573A9" w:rsidRDefault="00270C3C">
      <w:pPr>
        <w:ind w:left="720"/>
        <w:jc w:val="both"/>
      </w:pPr>
      <w:r>
        <w:rPr>
          <w:noProof/>
        </w:rPr>
        <w:drawing>
          <wp:inline distT="0" distB="0" distL="0" distR="0" wp14:anchorId="7ADEB4C8" wp14:editId="4CCA5AE9">
            <wp:extent cx="5486400" cy="880419"/>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5486400" cy="880419"/>
                    </a:xfrm>
                    <a:prstGeom prst="rect">
                      <a:avLst/>
                    </a:prstGeom>
                    <a:ln/>
                  </pic:spPr>
                </pic:pic>
              </a:graphicData>
            </a:graphic>
          </wp:inline>
        </w:drawing>
      </w:r>
    </w:p>
    <w:p w14:paraId="494DAE96" w14:textId="77777777" w:rsidR="004573A9" w:rsidRDefault="00270C3C">
      <w:pPr>
        <w:ind w:left="720"/>
        <w:jc w:val="both"/>
      </w:pPr>
      <w:r>
        <w:rPr>
          <w:b/>
          <w:sz w:val="20"/>
          <w:szCs w:val="20"/>
        </w:rPr>
        <w:t>Figure 10. Selecting and coloring a protein chain in the struct</w:t>
      </w:r>
      <w:r>
        <w:rPr>
          <w:b/>
          <w:sz w:val="20"/>
          <w:szCs w:val="20"/>
        </w:rPr>
        <w:t>ure.</w:t>
      </w:r>
      <w:r>
        <w:t xml:space="preserve"> </w:t>
      </w:r>
    </w:p>
    <w:p w14:paraId="442F8BC1" w14:textId="77777777" w:rsidR="004573A9" w:rsidRDefault="00270C3C">
      <w:pPr>
        <w:numPr>
          <w:ilvl w:val="0"/>
          <w:numId w:val="6"/>
        </w:numPr>
        <w:jc w:val="both"/>
      </w:pPr>
      <w:r>
        <w:t>Look at the blue banner information and click on the tab that says AMSH-like protease. You will see a dropdown menu. Click on ubiquitin and repeat steps 6-7 and change the color to green. Label this ubiquitin as “Ubiquitin 1.”</w:t>
      </w:r>
      <w:r>
        <w:lastRenderedPageBreak/>
        <w:tab/>
      </w:r>
      <w:r>
        <w:rPr>
          <w:noProof/>
        </w:rPr>
        <w:drawing>
          <wp:inline distT="0" distB="0" distL="0" distR="0" wp14:anchorId="0A0E7909" wp14:editId="68460052">
            <wp:extent cx="5486400" cy="1452664"/>
            <wp:effectExtent l="0" t="0" r="0" b="0"/>
            <wp:docPr id="8" name="image12.png" descr="A computer screen with a red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computer screen with a red mark&#10;&#10;Description automatically generated"/>
                    <pic:cNvPicPr preferRelativeResize="0"/>
                  </pic:nvPicPr>
                  <pic:blipFill>
                    <a:blip r:embed="rId30"/>
                    <a:srcRect/>
                    <a:stretch>
                      <a:fillRect/>
                    </a:stretch>
                  </pic:blipFill>
                  <pic:spPr>
                    <a:xfrm>
                      <a:off x="0" y="0"/>
                      <a:ext cx="5486400" cy="1452664"/>
                    </a:xfrm>
                    <a:prstGeom prst="rect">
                      <a:avLst/>
                    </a:prstGeom>
                    <a:ln/>
                  </pic:spPr>
                </pic:pic>
              </a:graphicData>
            </a:graphic>
          </wp:inline>
        </w:drawing>
      </w:r>
    </w:p>
    <w:p w14:paraId="6F114E17" w14:textId="77777777" w:rsidR="004573A9" w:rsidRDefault="00270C3C">
      <w:pPr>
        <w:ind w:left="720"/>
        <w:jc w:val="both"/>
        <w:rPr>
          <w:b/>
          <w:sz w:val="20"/>
          <w:szCs w:val="20"/>
        </w:rPr>
      </w:pPr>
      <w:r>
        <w:rPr>
          <w:b/>
          <w:sz w:val="20"/>
          <w:szCs w:val="20"/>
        </w:rPr>
        <w:t xml:space="preserve">Figure 11. Selecting </w:t>
      </w:r>
      <w:r>
        <w:rPr>
          <w:b/>
          <w:sz w:val="20"/>
          <w:szCs w:val="20"/>
        </w:rPr>
        <w:t xml:space="preserve">and coloring the ubiquitin protein chains. </w:t>
      </w:r>
    </w:p>
    <w:p w14:paraId="05EDC68A" w14:textId="77777777" w:rsidR="004573A9" w:rsidRDefault="00270C3C">
      <w:pPr>
        <w:numPr>
          <w:ilvl w:val="0"/>
          <w:numId w:val="9"/>
        </w:numPr>
        <w:pBdr>
          <w:top w:val="nil"/>
          <w:left w:val="nil"/>
          <w:bottom w:val="nil"/>
          <w:right w:val="nil"/>
          <w:between w:val="nil"/>
        </w:pBdr>
      </w:pPr>
      <w:r>
        <w:t>Repeat steps</w:t>
      </w:r>
      <w:r>
        <w:rPr>
          <w:color w:val="000000"/>
        </w:rPr>
        <w:t xml:space="preserve"> 6-7 with the second ubiquitin (Label as “Ubiquitin 2”) and change the color to orange.</w:t>
      </w:r>
    </w:p>
    <w:p w14:paraId="0DE64B1E" w14:textId="77777777" w:rsidR="004573A9" w:rsidRDefault="00270C3C">
      <w:r>
        <w:t xml:space="preserve">Q2. Insert the screenshot of the JAMM domain of Sst2 with two </w:t>
      </w:r>
      <w:proofErr w:type="spellStart"/>
      <w:r>
        <w:t>ubiquitins</w:t>
      </w:r>
      <w:proofErr w:type="spellEnd"/>
      <w:r>
        <w:t>.</w:t>
      </w:r>
    </w:p>
    <w:p w14:paraId="56DC6D1A" w14:textId="77777777" w:rsidR="004573A9" w:rsidRDefault="004573A9">
      <w:pPr>
        <w:jc w:val="center"/>
      </w:pPr>
    </w:p>
    <w:p w14:paraId="615268EB" w14:textId="77777777" w:rsidR="004573A9" w:rsidRDefault="004573A9">
      <w:pPr>
        <w:jc w:val="center"/>
      </w:pPr>
    </w:p>
    <w:p w14:paraId="318FDD7B" w14:textId="77777777" w:rsidR="004573A9" w:rsidRDefault="004573A9">
      <w:pPr>
        <w:jc w:val="center"/>
      </w:pPr>
    </w:p>
    <w:p w14:paraId="773096EA" w14:textId="77777777" w:rsidR="004573A9" w:rsidRDefault="00270C3C">
      <w:pPr>
        <w:numPr>
          <w:ilvl w:val="0"/>
          <w:numId w:val="9"/>
        </w:numPr>
        <w:pBdr>
          <w:top w:val="nil"/>
          <w:left w:val="nil"/>
          <w:bottom w:val="nil"/>
          <w:right w:val="nil"/>
          <w:between w:val="nil"/>
        </w:pBdr>
        <w:jc w:val="both"/>
      </w:pPr>
      <w:r>
        <w:rPr>
          <w:color w:val="000000"/>
        </w:rPr>
        <w:t>Change the “Chain” to residue on the selection panel and turn off the selection mode (see Figure 12).</w:t>
      </w:r>
    </w:p>
    <w:p w14:paraId="1E1A8A0B" w14:textId="77777777" w:rsidR="004573A9" w:rsidRDefault="00270C3C">
      <w:pPr>
        <w:ind w:left="720" w:hanging="360"/>
      </w:pPr>
      <w:r>
        <w:rPr>
          <w:noProof/>
        </w:rPr>
        <w:drawing>
          <wp:inline distT="0" distB="0" distL="0" distR="0" wp14:anchorId="60873084" wp14:editId="3D5D12EB">
            <wp:extent cx="3105150" cy="34925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105150" cy="349250"/>
                    </a:xfrm>
                    <a:prstGeom prst="rect">
                      <a:avLst/>
                    </a:prstGeom>
                    <a:ln/>
                  </pic:spPr>
                </pic:pic>
              </a:graphicData>
            </a:graphic>
          </wp:inline>
        </w:drawing>
      </w:r>
    </w:p>
    <w:p w14:paraId="7B2E855C" w14:textId="77777777" w:rsidR="004573A9" w:rsidRDefault="00270C3C">
      <w:pPr>
        <w:ind w:left="720" w:hanging="360"/>
        <w:rPr>
          <w:b/>
          <w:sz w:val="20"/>
          <w:szCs w:val="20"/>
        </w:rPr>
      </w:pPr>
      <w:r>
        <w:rPr>
          <w:b/>
          <w:sz w:val="20"/>
          <w:szCs w:val="20"/>
        </w:rPr>
        <w:t xml:space="preserve">Figure 12. Options to change the selection level and turn off the selection mode. </w:t>
      </w:r>
    </w:p>
    <w:p w14:paraId="37116D99" w14:textId="5C9605D8" w:rsidR="004573A9" w:rsidRDefault="00270C3C" w:rsidP="00A672DF">
      <w:pPr>
        <w:numPr>
          <w:ilvl w:val="0"/>
          <w:numId w:val="9"/>
        </w:numPr>
        <w:pBdr>
          <w:top w:val="nil"/>
          <w:left w:val="nil"/>
          <w:bottom w:val="nil"/>
          <w:right w:val="nil"/>
          <w:between w:val="nil"/>
        </w:pBdr>
        <w:jc w:val="both"/>
      </w:pPr>
      <w:r>
        <w:rPr>
          <w:color w:val="000000"/>
        </w:rPr>
        <w:t>Look at the blue banner information and make sure it is set to AMSH-l</w:t>
      </w:r>
      <w:r>
        <w:rPr>
          <w:color w:val="000000"/>
        </w:rPr>
        <w:t xml:space="preserve">ike protease. Click on residue which </w:t>
      </w:r>
      <w:r>
        <w:t>corresponds to</w:t>
      </w:r>
      <w:r>
        <w:rPr>
          <w:color w:val="000000"/>
        </w:rPr>
        <w:t xml:space="preserve"> Thr313 in human AMSH</w:t>
      </w:r>
      <w:r>
        <w:t>,</w:t>
      </w:r>
      <w:r>
        <w:rPr>
          <w:color w:val="000000"/>
        </w:rPr>
        <w:t xml:space="preserve"> on the sequence and explore its interaction. </w:t>
      </w:r>
      <w:r>
        <w:t>L</w:t>
      </w:r>
      <w:r>
        <w:rPr>
          <w:color w:val="000000"/>
        </w:rPr>
        <w:t>ook at the bottom right corner of the Mol* 3D canvas to confirm the correct residue i</w:t>
      </w:r>
      <w:r>
        <w:t>s selected</w:t>
      </w:r>
      <w:r>
        <w:rPr>
          <w:color w:val="000000"/>
        </w:rPr>
        <w:t>. This should select the amino acid</w:t>
      </w:r>
      <w:r>
        <w:t>, cent</w:t>
      </w:r>
      <w:r>
        <w:t>er on it, and display the interactions in the neighborhood of this amino acid.</w:t>
      </w:r>
    </w:p>
    <w:p w14:paraId="026B10A8" w14:textId="77777777" w:rsidR="00A672DF" w:rsidRPr="00A672DF" w:rsidRDefault="00A672DF" w:rsidP="00A672DF">
      <w:pPr>
        <w:pBdr>
          <w:top w:val="nil"/>
          <w:left w:val="nil"/>
          <w:bottom w:val="nil"/>
          <w:right w:val="nil"/>
          <w:between w:val="nil"/>
        </w:pBdr>
        <w:ind w:left="720"/>
        <w:jc w:val="both"/>
      </w:pPr>
    </w:p>
    <w:p w14:paraId="32A64779" w14:textId="77777777" w:rsidR="004573A9" w:rsidRDefault="00270C3C">
      <w:pPr>
        <w:pBdr>
          <w:top w:val="nil"/>
          <w:left w:val="nil"/>
          <w:bottom w:val="nil"/>
          <w:right w:val="nil"/>
          <w:between w:val="nil"/>
        </w:pBdr>
        <w:jc w:val="both"/>
      </w:pPr>
      <w:r>
        <w:t>Q3: What is the nature (h</w:t>
      </w:r>
      <w:r>
        <w:t>ydrophobic, hydrophilic, charged, aromatic) of this amino acid?</w:t>
      </w:r>
    </w:p>
    <w:p w14:paraId="3010ABF9" w14:textId="77777777" w:rsidR="004573A9" w:rsidRDefault="004573A9">
      <w:pPr>
        <w:rPr>
          <w:color w:val="FF0000"/>
        </w:rPr>
      </w:pPr>
    </w:p>
    <w:p w14:paraId="0AA24015" w14:textId="77777777" w:rsidR="004573A9" w:rsidRDefault="004573A9">
      <w:pPr>
        <w:rPr>
          <w:color w:val="FF0000"/>
        </w:rPr>
      </w:pPr>
    </w:p>
    <w:p w14:paraId="0D812A31" w14:textId="77777777" w:rsidR="004573A9" w:rsidRDefault="00270C3C">
      <w:pPr>
        <w:numPr>
          <w:ilvl w:val="0"/>
          <w:numId w:val="9"/>
        </w:numPr>
        <w:pBdr>
          <w:top w:val="nil"/>
          <w:left w:val="nil"/>
          <w:bottom w:val="nil"/>
          <w:right w:val="nil"/>
          <w:between w:val="nil"/>
        </w:pBdr>
        <w:jc w:val="both"/>
      </w:pPr>
      <w:r>
        <w:rPr>
          <w:color w:val="000000"/>
        </w:rPr>
        <w:lastRenderedPageBreak/>
        <w:t>Click on the sliding tab (labeled 1) under components to get a dropdown menu. Click on non-covalent interactions (labeled 2), turn off all the interactions, and turn on ionic, hydrogen bondi</w:t>
      </w:r>
      <w:r>
        <w:rPr>
          <w:color w:val="000000"/>
        </w:rPr>
        <w:t xml:space="preserve">ng and hydrophobic interactions (labeled 3) - </w:t>
      </w:r>
      <w:r>
        <w:t>see Figure 13</w:t>
      </w:r>
      <w:r>
        <w:rPr>
          <w:color w:val="000000"/>
        </w:rPr>
        <w:t>.</w:t>
      </w:r>
    </w:p>
    <w:p w14:paraId="2F3C54FF" w14:textId="77777777" w:rsidR="004573A9" w:rsidRDefault="00270C3C">
      <w:pPr>
        <w:ind w:left="720" w:hanging="360"/>
      </w:pPr>
      <w:r>
        <w:rPr>
          <w:noProof/>
        </w:rPr>
        <w:drawing>
          <wp:inline distT="0" distB="0" distL="0" distR="0" wp14:anchorId="36AB887B" wp14:editId="6D9F989E">
            <wp:extent cx="1371600" cy="2057400"/>
            <wp:effectExtent l="0" t="0" r="0" b="0"/>
            <wp:docPr id="6" name="image1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screenshot of a computer&#10;&#10;Description automatically generated"/>
                    <pic:cNvPicPr preferRelativeResize="0"/>
                  </pic:nvPicPr>
                  <pic:blipFill>
                    <a:blip r:embed="rId32"/>
                    <a:srcRect/>
                    <a:stretch>
                      <a:fillRect/>
                    </a:stretch>
                  </pic:blipFill>
                  <pic:spPr>
                    <a:xfrm>
                      <a:off x="0" y="0"/>
                      <a:ext cx="1371600" cy="2057400"/>
                    </a:xfrm>
                    <a:prstGeom prst="rect">
                      <a:avLst/>
                    </a:prstGeom>
                    <a:ln/>
                  </pic:spPr>
                </pic:pic>
              </a:graphicData>
            </a:graphic>
          </wp:inline>
        </w:drawing>
      </w:r>
    </w:p>
    <w:p w14:paraId="38958125" w14:textId="77777777" w:rsidR="004573A9" w:rsidRDefault="00270C3C">
      <w:pPr>
        <w:ind w:left="720" w:hanging="360"/>
        <w:rPr>
          <w:b/>
          <w:sz w:val="20"/>
          <w:szCs w:val="20"/>
        </w:rPr>
      </w:pPr>
      <w:r>
        <w:rPr>
          <w:b/>
          <w:sz w:val="20"/>
          <w:szCs w:val="20"/>
        </w:rPr>
        <w:t xml:space="preserve">Figure 13. Steps to selectively turn on the display of specific bonds </w:t>
      </w:r>
    </w:p>
    <w:p w14:paraId="5A883F5B" w14:textId="606AA0B2" w:rsidR="004573A9" w:rsidRDefault="004573A9">
      <w:pPr>
        <w:jc w:val="both"/>
        <w:rPr>
          <w:color w:val="156082"/>
        </w:rPr>
      </w:pPr>
    </w:p>
    <w:p w14:paraId="37F37ADF" w14:textId="77777777" w:rsidR="004573A9" w:rsidRDefault="00270C3C">
      <w:pPr>
        <w:jc w:val="both"/>
      </w:pPr>
      <w:r>
        <w:t>Q4: How many interactions does the side chain of</w:t>
      </w:r>
      <w:r>
        <w:t xml:space="preserve"> selected residue make, and with what residues? (Hint: Hover over the interacting residues and read the name and number of the residue displayed at the bottom right corner of the 3D canvas). Please write </w:t>
      </w:r>
      <w:proofErr w:type="spellStart"/>
      <w:r>
        <w:t>Ub</w:t>
      </w:r>
      <w:proofErr w:type="spellEnd"/>
      <w:r>
        <w:t xml:space="preserve"> if it is a residue from ubiquitin. Support your a</w:t>
      </w:r>
      <w:r>
        <w:t xml:space="preserve">nswer with a labeled figure. (Hint: to identify the type of bond, you can hover over the dashed lines representing each interaction that the selected residue makes and look in the bottom right corner of the 3D canvas to see details about it.) </w:t>
      </w:r>
    </w:p>
    <w:p w14:paraId="12BD9DAC" w14:textId="77777777" w:rsidR="004573A9" w:rsidRDefault="004573A9">
      <w:pPr>
        <w:jc w:val="both"/>
        <w:rPr>
          <w:color w:val="FF0000"/>
        </w:rPr>
      </w:pPr>
    </w:p>
    <w:p w14:paraId="0F568F1A" w14:textId="77777777" w:rsidR="004573A9" w:rsidRDefault="004573A9">
      <w:pPr>
        <w:jc w:val="both"/>
        <w:rPr>
          <w:color w:val="FF0000"/>
        </w:rPr>
      </w:pPr>
    </w:p>
    <w:p w14:paraId="06BC9418" w14:textId="77777777" w:rsidR="004573A9" w:rsidRDefault="004573A9">
      <w:pPr>
        <w:jc w:val="both"/>
        <w:rPr>
          <w:color w:val="FF0000"/>
        </w:rPr>
      </w:pPr>
    </w:p>
    <w:p w14:paraId="0B8A0050" w14:textId="77777777" w:rsidR="004573A9" w:rsidRDefault="00270C3C">
      <w:pPr>
        <w:pStyle w:val="Heading3"/>
      </w:pPr>
      <w:bookmarkStart w:id="28" w:name="_owc3gr1eb48m" w:colFirst="0" w:colLast="0"/>
      <w:bookmarkEnd w:id="28"/>
      <w:r>
        <w:t>Transferring understanding to the human AMSH protein</w:t>
      </w:r>
    </w:p>
    <w:p w14:paraId="483ABB41" w14:textId="77777777" w:rsidR="004573A9" w:rsidRDefault="00270C3C">
      <w:r>
        <w:t xml:space="preserve">Based on what you learned from the sequence alignment in Part III, answer the following questions. </w:t>
      </w:r>
    </w:p>
    <w:p w14:paraId="102E7D50" w14:textId="77777777" w:rsidR="004573A9" w:rsidRDefault="004573A9">
      <w:pPr>
        <w:jc w:val="both"/>
      </w:pPr>
    </w:p>
    <w:p w14:paraId="628A3197" w14:textId="77777777" w:rsidR="004573A9" w:rsidRDefault="00270C3C">
      <w:r>
        <w:t xml:space="preserve">Q1: Can Thr313 of AMSH form similar interactions with ubiquitin as corresponding residue of Sst2 that </w:t>
      </w:r>
      <w:r>
        <w:t>you examined above?</w:t>
      </w:r>
    </w:p>
    <w:p w14:paraId="6A9D4B4A" w14:textId="77777777" w:rsidR="004573A9" w:rsidRDefault="004573A9">
      <w:pPr>
        <w:rPr>
          <w:color w:val="FF0000"/>
        </w:rPr>
      </w:pPr>
    </w:p>
    <w:p w14:paraId="2F5E4321" w14:textId="77777777" w:rsidR="004573A9" w:rsidRDefault="004573A9">
      <w:pPr>
        <w:rPr>
          <w:color w:val="FF0000"/>
        </w:rPr>
      </w:pPr>
    </w:p>
    <w:p w14:paraId="4E421C62" w14:textId="77777777" w:rsidR="004573A9" w:rsidRDefault="00270C3C">
      <w:r>
        <w:lastRenderedPageBreak/>
        <w:t xml:space="preserve">Q2. In MIC-CAP syndrome, Thr313 is mutated to Ile. Draw the structure of </w:t>
      </w:r>
      <w:proofErr w:type="spellStart"/>
      <w:r>
        <w:t>Thr</w:t>
      </w:r>
      <w:proofErr w:type="spellEnd"/>
      <w:r>
        <w:t xml:space="preserve"> and Ile. What property does Ile have and how does the mutation affect non-covalent interactions with ubiquitin? [Hint: </w:t>
      </w:r>
      <w:r>
        <w:rPr>
          <w:rFonts w:ascii="Arial" w:eastAsia="Arial" w:hAnsi="Arial" w:cs="Arial"/>
        </w:rPr>
        <w:t xml:space="preserve">Find the structures of </w:t>
      </w:r>
      <w:proofErr w:type="spellStart"/>
      <w:r>
        <w:rPr>
          <w:rFonts w:ascii="Arial" w:eastAsia="Arial" w:hAnsi="Arial" w:cs="Arial"/>
        </w:rPr>
        <w:t>Thr</w:t>
      </w:r>
      <w:proofErr w:type="spellEnd"/>
      <w:r>
        <w:rPr>
          <w:rFonts w:ascii="Arial" w:eastAsia="Arial" w:hAnsi="Arial" w:cs="Arial"/>
        </w:rPr>
        <w:t xml:space="preserve"> and Ile fro</w:t>
      </w:r>
      <w:r>
        <w:rPr>
          <w:rFonts w:ascii="Arial" w:eastAsia="Arial" w:hAnsi="Arial" w:cs="Arial"/>
        </w:rPr>
        <w:t>m either the PDB’s chemical component dictionary (ligand) or a website like PubChem and include them in</w:t>
      </w:r>
      <w:r>
        <w:t xml:space="preserve"> your answer]</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573A9" w14:paraId="11C6984E" w14:textId="77777777">
        <w:tc>
          <w:tcPr>
            <w:tcW w:w="4680" w:type="dxa"/>
            <w:shd w:val="clear" w:color="auto" w:fill="auto"/>
            <w:tcMar>
              <w:top w:w="100" w:type="dxa"/>
              <w:left w:w="100" w:type="dxa"/>
              <w:bottom w:w="100" w:type="dxa"/>
              <w:right w:w="100" w:type="dxa"/>
            </w:tcMar>
          </w:tcPr>
          <w:p w14:paraId="5947BBCF" w14:textId="77777777" w:rsidR="004573A9" w:rsidRDefault="004573A9">
            <w:pPr>
              <w:widowControl w:val="0"/>
              <w:pBdr>
                <w:top w:val="nil"/>
                <w:left w:val="nil"/>
                <w:bottom w:val="nil"/>
                <w:right w:val="nil"/>
                <w:between w:val="nil"/>
              </w:pBdr>
              <w:spacing w:after="0" w:line="240" w:lineRule="auto"/>
              <w:jc w:val="center"/>
              <w:rPr>
                <w:b/>
              </w:rPr>
            </w:pPr>
          </w:p>
        </w:tc>
        <w:tc>
          <w:tcPr>
            <w:tcW w:w="4680" w:type="dxa"/>
            <w:shd w:val="clear" w:color="auto" w:fill="auto"/>
            <w:tcMar>
              <w:top w:w="100" w:type="dxa"/>
              <w:left w:w="100" w:type="dxa"/>
              <w:bottom w:w="100" w:type="dxa"/>
              <w:right w:w="100" w:type="dxa"/>
            </w:tcMar>
          </w:tcPr>
          <w:p w14:paraId="70DA9BBA" w14:textId="77777777" w:rsidR="004573A9" w:rsidRDefault="004573A9">
            <w:pPr>
              <w:widowControl w:val="0"/>
              <w:pBdr>
                <w:top w:val="nil"/>
                <w:left w:val="nil"/>
                <w:bottom w:val="nil"/>
                <w:right w:val="nil"/>
                <w:between w:val="nil"/>
              </w:pBdr>
              <w:spacing w:after="0" w:line="240" w:lineRule="auto"/>
              <w:jc w:val="center"/>
              <w:rPr>
                <w:b/>
              </w:rPr>
            </w:pPr>
          </w:p>
          <w:p w14:paraId="3D8052F1" w14:textId="77777777" w:rsidR="00A672DF" w:rsidRDefault="00A672DF">
            <w:pPr>
              <w:widowControl w:val="0"/>
              <w:pBdr>
                <w:top w:val="nil"/>
                <w:left w:val="nil"/>
                <w:bottom w:val="nil"/>
                <w:right w:val="nil"/>
                <w:between w:val="nil"/>
              </w:pBdr>
              <w:spacing w:after="0" w:line="240" w:lineRule="auto"/>
              <w:jc w:val="center"/>
              <w:rPr>
                <w:b/>
              </w:rPr>
            </w:pPr>
          </w:p>
          <w:p w14:paraId="74D14B63" w14:textId="77777777" w:rsidR="00A672DF" w:rsidRDefault="00A672DF">
            <w:pPr>
              <w:widowControl w:val="0"/>
              <w:pBdr>
                <w:top w:val="nil"/>
                <w:left w:val="nil"/>
                <w:bottom w:val="nil"/>
                <w:right w:val="nil"/>
                <w:between w:val="nil"/>
              </w:pBdr>
              <w:spacing w:after="0" w:line="240" w:lineRule="auto"/>
              <w:jc w:val="center"/>
              <w:rPr>
                <w:b/>
              </w:rPr>
            </w:pPr>
          </w:p>
          <w:p w14:paraId="43B311E4" w14:textId="77777777" w:rsidR="00A672DF" w:rsidRDefault="00A672DF">
            <w:pPr>
              <w:widowControl w:val="0"/>
              <w:pBdr>
                <w:top w:val="nil"/>
                <w:left w:val="nil"/>
                <w:bottom w:val="nil"/>
                <w:right w:val="nil"/>
                <w:between w:val="nil"/>
              </w:pBdr>
              <w:spacing w:after="0" w:line="240" w:lineRule="auto"/>
              <w:jc w:val="center"/>
              <w:rPr>
                <w:b/>
              </w:rPr>
            </w:pPr>
          </w:p>
          <w:p w14:paraId="7FDE5FF4" w14:textId="77777777" w:rsidR="00A672DF" w:rsidRDefault="00A672DF">
            <w:pPr>
              <w:widowControl w:val="0"/>
              <w:pBdr>
                <w:top w:val="nil"/>
                <w:left w:val="nil"/>
                <w:bottom w:val="nil"/>
                <w:right w:val="nil"/>
                <w:between w:val="nil"/>
              </w:pBdr>
              <w:spacing w:after="0" w:line="240" w:lineRule="auto"/>
              <w:jc w:val="center"/>
              <w:rPr>
                <w:b/>
              </w:rPr>
            </w:pPr>
          </w:p>
          <w:p w14:paraId="4A07FA1D" w14:textId="77777777" w:rsidR="00A672DF" w:rsidRDefault="00A672DF">
            <w:pPr>
              <w:widowControl w:val="0"/>
              <w:pBdr>
                <w:top w:val="nil"/>
                <w:left w:val="nil"/>
                <w:bottom w:val="nil"/>
                <w:right w:val="nil"/>
                <w:between w:val="nil"/>
              </w:pBdr>
              <w:spacing w:after="0" w:line="240" w:lineRule="auto"/>
              <w:jc w:val="center"/>
              <w:rPr>
                <w:b/>
              </w:rPr>
            </w:pPr>
          </w:p>
          <w:p w14:paraId="0A3F2A29" w14:textId="77777777" w:rsidR="00A672DF" w:rsidRDefault="00A672DF">
            <w:pPr>
              <w:widowControl w:val="0"/>
              <w:pBdr>
                <w:top w:val="nil"/>
                <w:left w:val="nil"/>
                <w:bottom w:val="nil"/>
                <w:right w:val="nil"/>
                <w:between w:val="nil"/>
              </w:pBdr>
              <w:spacing w:after="0" w:line="240" w:lineRule="auto"/>
              <w:jc w:val="center"/>
              <w:rPr>
                <w:b/>
              </w:rPr>
            </w:pPr>
          </w:p>
          <w:p w14:paraId="2FFCD6BB" w14:textId="2F1315FC" w:rsidR="00A672DF" w:rsidRDefault="00A672DF">
            <w:pPr>
              <w:widowControl w:val="0"/>
              <w:pBdr>
                <w:top w:val="nil"/>
                <w:left w:val="nil"/>
                <w:bottom w:val="nil"/>
                <w:right w:val="nil"/>
                <w:between w:val="nil"/>
              </w:pBdr>
              <w:spacing w:after="0" w:line="240" w:lineRule="auto"/>
              <w:jc w:val="center"/>
              <w:rPr>
                <w:b/>
              </w:rPr>
            </w:pPr>
          </w:p>
        </w:tc>
      </w:tr>
      <w:tr w:rsidR="004573A9" w14:paraId="3BC021AA" w14:textId="77777777">
        <w:tc>
          <w:tcPr>
            <w:tcW w:w="4680" w:type="dxa"/>
            <w:shd w:val="clear" w:color="auto" w:fill="auto"/>
            <w:tcMar>
              <w:top w:w="100" w:type="dxa"/>
              <w:left w:w="100" w:type="dxa"/>
              <w:bottom w:w="100" w:type="dxa"/>
              <w:right w:w="100" w:type="dxa"/>
            </w:tcMar>
          </w:tcPr>
          <w:p w14:paraId="0ACDB00C" w14:textId="77777777" w:rsidR="004573A9" w:rsidRDefault="00270C3C">
            <w:pPr>
              <w:widowControl w:val="0"/>
              <w:pBdr>
                <w:top w:val="nil"/>
                <w:left w:val="nil"/>
                <w:bottom w:val="nil"/>
                <w:right w:val="nil"/>
                <w:between w:val="nil"/>
              </w:pBdr>
              <w:spacing w:after="0" w:line="240" w:lineRule="auto"/>
              <w:jc w:val="center"/>
              <w:rPr>
                <w:b/>
              </w:rPr>
            </w:pPr>
            <w:r>
              <w:rPr>
                <w:b/>
              </w:rPr>
              <w:t>Ile</w:t>
            </w:r>
          </w:p>
        </w:tc>
        <w:tc>
          <w:tcPr>
            <w:tcW w:w="4680" w:type="dxa"/>
            <w:shd w:val="clear" w:color="auto" w:fill="auto"/>
            <w:tcMar>
              <w:top w:w="100" w:type="dxa"/>
              <w:left w:w="100" w:type="dxa"/>
              <w:bottom w:w="100" w:type="dxa"/>
              <w:right w:w="100" w:type="dxa"/>
            </w:tcMar>
          </w:tcPr>
          <w:p w14:paraId="0FE76952" w14:textId="77777777" w:rsidR="004573A9" w:rsidRDefault="00270C3C">
            <w:pPr>
              <w:widowControl w:val="0"/>
              <w:pBdr>
                <w:top w:val="nil"/>
                <w:left w:val="nil"/>
                <w:bottom w:val="nil"/>
                <w:right w:val="nil"/>
                <w:between w:val="nil"/>
              </w:pBdr>
              <w:spacing w:after="0" w:line="240" w:lineRule="auto"/>
              <w:jc w:val="center"/>
              <w:rPr>
                <w:b/>
              </w:rPr>
            </w:pPr>
            <w:proofErr w:type="spellStart"/>
            <w:r>
              <w:rPr>
                <w:b/>
              </w:rPr>
              <w:t>Thr</w:t>
            </w:r>
            <w:proofErr w:type="spellEnd"/>
          </w:p>
        </w:tc>
      </w:tr>
    </w:tbl>
    <w:p w14:paraId="54D85D69" w14:textId="77777777" w:rsidR="004573A9" w:rsidRDefault="004573A9">
      <w:pPr>
        <w:rPr>
          <w:b/>
        </w:rPr>
      </w:pPr>
    </w:p>
    <w:p w14:paraId="0B845925" w14:textId="77777777" w:rsidR="004573A9" w:rsidRDefault="004573A9">
      <w:pPr>
        <w:rPr>
          <w:color w:val="FF0000"/>
        </w:rPr>
      </w:pPr>
    </w:p>
    <w:p w14:paraId="6F5C854E" w14:textId="77777777" w:rsidR="004573A9" w:rsidRDefault="00270C3C">
      <w:r>
        <w:t>Q16. What would be the effect of loss of hydrogen bonds of AMSH with ubiquitin?</w:t>
      </w:r>
    </w:p>
    <w:p w14:paraId="4B72E943" w14:textId="77777777" w:rsidR="004573A9" w:rsidRDefault="004573A9">
      <w:pPr>
        <w:rPr>
          <w:color w:val="FF0000"/>
        </w:rPr>
      </w:pPr>
    </w:p>
    <w:p w14:paraId="126B86C9" w14:textId="77777777" w:rsidR="004573A9" w:rsidRDefault="004573A9">
      <w:pPr>
        <w:rPr>
          <w:color w:val="FF0000"/>
        </w:rPr>
      </w:pPr>
    </w:p>
    <w:p w14:paraId="421E7F85" w14:textId="77777777" w:rsidR="004573A9" w:rsidRDefault="00270C3C">
      <w:pPr>
        <w:pStyle w:val="Heading2"/>
      </w:pPr>
      <w:bookmarkStart w:id="29" w:name="_6r243sn2ovgl" w:colFirst="0" w:colLast="0"/>
      <w:bookmarkEnd w:id="29"/>
      <w:r>
        <w:t>Part V: Relating structure-function knowledge to microcephaly and seizures</w:t>
      </w:r>
    </w:p>
    <w:p w14:paraId="270EFB7E" w14:textId="77777777" w:rsidR="004573A9" w:rsidRDefault="00270C3C">
      <w:pPr>
        <w:jc w:val="both"/>
      </w:pPr>
      <w:r>
        <w:t>Daisy reflected on all the things that she had learned …</w:t>
      </w:r>
    </w:p>
    <w:p w14:paraId="04D2D304" w14:textId="77777777" w:rsidR="004573A9" w:rsidRDefault="00270C3C">
      <w:pPr>
        <w:numPr>
          <w:ilvl w:val="0"/>
          <w:numId w:val="12"/>
        </w:numPr>
        <w:spacing w:after="0"/>
        <w:jc w:val="both"/>
      </w:pPr>
      <w:r>
        <w:t>The newborn baby girl had microcephaly - c</w:t>
      </w:r>
      <w:r>
        <w:t xml:space="preserve">haracterized by a small head size. </w:t>
      </w:r>
    </w:p>
    <w:p w14:paraId="26F5E372" w14:textId="77777777" w:rsidR="004573A9" w:rsidRDefault="00270C3C">
      <w:pPr>
        <w:numPr>
          <w:ilvl w:val="0"/>
          <w:numId w:val="12"/>
        </w:numPr>
        <w:spacing w:after="0"/>
        <w:jc w:val="both"/>
      </w:pPr>
      <w:r>
        <w:t xml:space="preserve">A possible reason for the small head size could be abnormal apoptosis (or cell death) in the brain before birth, leading to neuronal loss, and disruption of normal brain development. </w:t>
      </w:r>
    </w:p>
    <w:p w14:paraId="42235F96" w14:textId="77777777" w:rsidR="004573A9" w:rsidRDefault="00270C3C">
      <w:pPr>
        <w:numPr>
          <w:ilvl w:val="0"/>
          <w:numId w:val="12"/>
        </w:numPr>
        <w:spacing w:after="0"/>
        <w:jc w:val="both"/>
      </w:pPr>
      <w:r>
        <w:t>Such neurological impairment could a</w:t>
      </w:r>
      <w:r>
        <w:t xml:space="preserve">lso lead to seizures and a shortened </w:t>
      </w:r>
      <w:proofErr w:type="gramStart"/>
      <w:r>
        <w:t>life-span</w:t>
      </w:r>
      <w:proofErr w:type="gramEnd"/>
      <w:r>
        <w:t xml:space="preserve">. </w:t>
      </w:r>
    </w:p>
    <w:p w14:paraId="6216C8CB" w14:textId="77777777" w:rsidR="004573A9" w:rsidRDefault="00270C3C">
      <w:pPr>
        <w:numPr>
          <w:ilvl w:val="0"/>
          <w:numId w:val="12"/>
        </w:numPr>
        <w:spacing w:after="0"/>
        <w:jc w:val="both"/>
      </w:pPr>
      <w:r>
        <w:t xml:space="preserve">At a molecular level, ubiquitinylated proteins are destined for destruction (via the proteosomes and endosomes/lysosomes). </w:t>
      </w:r>
    </w:p>
    <w:p w14:paraId="1F2202A4" w14:textId="77777777" w:rsidR="004573A9" w:rsidRDefault="00270C3C">
      <w:pPr>
        <w:numPr>
          <w:ilvl w:val="0"/>
          <w:numId w:val="12"/>
        </w:numPr>
        <w:spacing w:after="0"/>
        <w:jc w:val="both"/>
      </w:pPr>
      <w:proofErr w:type="spellStart"/>
      <w:r>
        <w:t>Deubiquitination</w:t>
      </w:r>
      <w:proofErr w:type="spellEnd"/>
      <w:r>
        <w:t xml:space="preserve"> enzymes (e.g., STAMBP/AMSH) regulate the ubiquitin tagging of prot</w:t>
      </w:r>
      <w:r>
        <w:t xml:space="preserve">eins and play an important role in neuronal cell formation/maturation during brain development.  </w:t>
      </w:r>
    </w:p>
    <w:p w14:paraId="76CC20D2" w14:textId="77777777" w:rsidR="004573A9" w:rsidRDefault="00270C3C">
      <w:pPr>
        <w:numPr>
          <w:ilvl w:val="0"/>
          <w:numId w:val="11"/>
        </w:numPr>
        <w:jc w:val="both"/>
      </w:pPr>
      <w:r>
        <w:t>Mutations in AMSH (seen in MIC-CAP syndrome) affects the machinery involved in degrading proteins, which may lead to cell damage and cause apoptosis</w:t>
      </w:r>
    </w:p>
    <w:p w14:paraId="101410ED" w14:textId="77777777" w:rsidR="004573A9" w:rsidRDefault="00270C3C">
      <w:pPr>
        <w:jc w:val="both"/>
      </w:pPr>
      <w:r>
        <w:lastRenderedPageBreak/>
        <w:t>—--------</w:t>
      </w:r>
      <w:r>
        <w:t>----------</w:t>
      </w:r>
    </w:p>
    <w:p w14:paraId="6CDA18A8" w14:textId="77777777" w:rsidR="004573A9" w:rsidRDefault="00270C3C">
      <w:pPr>
        <w:rPr>
          <w:b/>
        </w:rPr>
      </w:pPr>
      <w:r>
        <w:rPr>
          <w:b/>
        </w:rPr>
        <w:t>Definition of key terms used here: </w:t>
      </w:r>
    </w:p>
    <w:p w14:paraId="05F0C697" w14:textId="77777777" w:rsidR="004573A9" w:rsidRDefault="00270C3C">
      <w:r>
        <w:rPr>
          <w:b/>
        </w:rPr>
        <w:t>apoptosis:</w:t>
      </w:r>
      <w:r>
        <w:t xml:space="preserve"> a series of steps that leads to death of abnormal or unwanted cells. </w:t>
      </w:r>
    </w:p>
    <w:p w14:paraId="00FF5584" w14:textId="77777777" w:rsidR="004573A9" w:rsidRDefault="00270C3C">
      <w:r>
        <w:rPr>
          <w:b/>
        </w:rPr>
        <w:t>seizures:</w:t>
      </w:r>
      <w:r>
        <w:t xml:space="preserve"> a sudden abnormal electrical activity in the brain that can affect movements, behaviors, and consciousness.</w:t>
      </w:r>
    </w:p>
    <w:p w14:paraId="5E806771" w14:textId="77777777" w:rsidR="004573A9" w:rsidRDefault="00270C3C">
      <w:r>
        <w:rPr>
          <w:b/>
        </w:rPr>
        <w:t>neuronal loss:</w:t>
      </w:r>
      <w:r>
        <w:t xml:space="preserve"> loss or death of nerve cells in the nervous system</w:t>
      </w:r>
    </w:p>
    <w:p w14:paraId="7F0D469F" w14:textId="77777777" w:rsidR="004573A9" w:rsidRDefault="00270C3C">
      <w:r>
        <w:rPr>
          <w:b/>
        </w:rPr>
        <w:t>ubiquitinylated proteins:</w:t>
      </w:r>
      <w:r>
        <w:t xml:space="preserve"> proteins tagged with polyubiquitin or monoubiquitin chains.</w:t>
      </w:r>
    </w:p>
    <w:p w14:paraId="3B5B2EA2" w14:textId="77777777" w:rsidR="004573A9" w:rsidRDefault="00270C3C">
      <w:r>
        <w:t>—-----------------------------------------------------</w:t>
      </w:r>
    </w:p>
    <w:p w14:paraId="3418D3D8" w14:textId="77777777" w:rsidR="004573A9" w:rsidRDefault="00270C3C">
      <w:pPr>
        <w:jc w:val="both"/>
      </w:pPr>
      <w:r>
        <w:t>Q1. Explain in a few sentences how the mutation i</w:t>
      </w:r>
      <w:r>
        <w:t>n the JAMM domain of STAMBP (AMSH) causes the MIC-CAP syndrome symptoms - e.g., microcephaly. </w:t>
      </w:r>
    </w:p>
    <w:p w14:paraId="3783DAE3" w14:textId="77777777" w:rsidR="004573A9" w:rsidRDefault="004573A9">
      <w:pPr>
        <w:jc w:val="both"/>
        <w:rPr>
          <w:color w:val="FF0000"/>
        </w:rPr>
      </w:pPr>
    </w:p>
    <w:p w14:paraId="58711300" w14:textId="77777777" w:rsidR="004573A9" w:rsidRDefault="004573A9">
      <w:pPr>
        <w:jc w:val="both"/>
        <w:rPr>
          <w:color w:val="FF0000"/>
        </w:rPr>
      </w:pPr>
    </w:p>
    <w:p w14:paraId="04F2CD5B" w14:textId="77777777" w:rsidR="004573A9" w:rsidRDefault="004573A9">
      <w:pPr>
        <w:jc w:val="both"/>
      </w:pPr>
    </w:p>
    <w:p w14:paraId="71BCD42D" w14:textId="77777777" w:rsidR="004573A9" w:rsidRDefault="00270C3C">
      <w:pPr>
        <w:jc w:val="both"/>
      </w:pPr>
      <w:r>
        <w:t xml:space="preserve">Daisy met with the family and spoke to them about MIC-CAP syndrome and its possible molecular cause. </w:t>
      </w:r>
    </w:p>
    <w:p w14:paraId="7424C46C" w14:textId="77777777" w:rsidR="004573A9" w:rsidRDefault="00270C3C">
      <w:pPr>
        <w:jc w:val="both"/>
      </w:pPr>
      <w:r>
        <w:t xml:space="preserve">Q2. Help draft 2-3 points that Daisy can share with the </w:t>
      </w:r>
      <w:r>
        <w:t>new parents to explain MIC-CAP syndrome and what they could do, following the diagnosis?</w:t>
      </w:r>
    </w:p>
    <w:p w14:paraId="419049A9" w14:textId="77777777" w:rsidR="004573A9" w:rsidRDefault="004573A9">
      <w:pPr>
        <w:jc w:val="both"/>
        <w:rPr>
          <w:color w:val="980000"/>
        </w:rPr>
      </w:pPr>
    </w:p>
    <w:p w14:paraId="5766BDEC" w14:textId="77777777" w:rsidR="004573A9" w:rsidRDefault="004573A9">
      <w:pPr>
        <w:jc w:val="both"/>
        <w:rPr>
          <w:color w:val="980000"/>
        </w:rPr>
      </w:pPr>
    </w:p>
    <w:p w14:paraId="1B90E54C" w14:textId="77777777" w:rsidR="004573A9" w:rsidRDefault="00270C3C">
      <w:pPr>
        <w:jc w:val="both"/>
      </w:pPr>
      <w:r>
        <w:t xml:space="preserve">  </w:t>
      </w:r>
    </w:p>
    <w:p w14:paraId="20B950EE" w14:textId="77777777" w:rsidR="004573A9" w:rsidRDefault="004573A9">
      <w:pPr>
        <w:jc w:val="both"/>
        <w:rPr>
          <w:color w:val="FF0000"/>
        </w:rPr>
      </w:pPr>
    </w:p>
    <w:p w14:paraId="00627668" w14:textId="77777777" w:rsidR="004573A9" w:rsidRDefault="00270C3C">
      <w:pPr>
        <w:pStyle w:val="Heading2"/>
      </w:pPr>
      <w:bookmarkStart w:id="30" w:name="_mn6hsw9abzji" w:colFirst="0" w:colLast="0"/>
      <w:bookmarkEnd w:id="30"/>
      <w:r>
        <w:t>Part VI: Assessing student learning (Optional section)</w:t>
      </w:r>
    </w:p>
    <w:p w14:paraId="5C65333E" w14:textId="77777777" w:rsidR="004573A9" w:rsidRDefault="00270C3C">
      <w:pPr>
        <w:jc w:val="both"/>
      </w:pPr>
      <w:r>
        <w:t>In addition to the JAMM domain, the AMSH protein also consists of the MIT domain. The MIT domain doesn’t b</w:t>
      </w:r>
      <w:r>
        <w:t>ind to ubiquitin; however, it interacts with specific ESCRT-III proteins (CHMP3-charged multivesicular bodies 3). Different mutations found in the MIT domain (1-112) of AMSH may also cause MIC-CAP syndrome.  </w:t>
      </w:r>
    </w:p>
    <w:p w14:paraId="316BCBF5" w14:textId="77777777" w:rsidR="004573A9" w:rsidRDefault="00270C3C">
      <w:pPr>
        <w:jc w:val="both"/>
      </w:pPr>
      <w:r>
        <w:t xml:space="preserve">Go to the </w:t>
      </w:r>
      <w:proofErr w:type="spellStart"/>
      <w:r>
        <w:t>UniProt</w:t>
      </w:r>
      <w:proofErr w:type="spellEnd"/>
      <w:r>
        <w:t xml:space="preserve"> page and examine the section </w:t>
      </w:r>
      <w:r>
        <w:t>listing the various variants of AMSH (</w:t>
      </w:r>
      <w:hyperlink r:id="rId33" w:anchor="disease_variants">
        <w:r>
          <w:rPr>
            <w:color w:val="467886"/>
            <w:u w:val="single"/>
          </w:rPr>
          <w:t>https://www.uniprot.org/uniprotkb/O95630/entry#disease_variants</w:t>
        </w:r>
      </w:hyperlink>
      <w:r>
        <w:t>). Use information available here to answer the following questions.</w:t>
      </w:r>
    </w:p>
    <w:p w14:paraId="0F7C5697" w14:textId="77777777" w:rsidR="004573A9" w:rsidRDefault="00270C3C">
      <w:pPr>
        <w:jc w:val="both"/>
      </w:pPr>
      <w:r>
        <w:lastRenderedPageBreak/>
        <w:t>Q1. Identify the mutations in the MIT domain that can result in MIC-CAP syndrome.</w:t>
      </w:r>
    </w:p>
    <w:p w14:paraId="30129781" w14:textId="77777777" w:rsidR="004573A9" w:rsidRDefault="004573A9">
      <w:pPr>
        <w:jc w:val="both"/>
        <w:rPr>
          <w:color w:val="FF0000"/>
        </w:rPr>
      </w:pPr>
    </w:p>
    <w:p w14:paraId="544AEFA0" w14:textId="77777777" w:rsidR="004573A9" w:rsidRDefault="004573A9">
      <w:pPr>
        <w:jc w:val="both"/>
        <w:rPr>
          <w:color w:val="FF0000"/>
        </w:rPr>
      </w:pPr>
    </w:p>
    <w:p w14:paraId="59D7BD11" w14:textId="77777777" w:rsidR="004573A9" w:rsidRDefault="00270C3C">
      <w:r>
        <w:t xml:space="preserve">Q2. Search the PDB for a structure of AMSH-ESCRT-III with CHMP3 and visualize the structure with Mol*. </w:t>
      </w:r>
      <w:r>
        <w:t>What is the PDB ID of the structure you found?</w:t>
      </w:r>
    </w:p>
    <w:p w14:paraId="447D1D40" w14:textId="77777777" w:rsidR="004573A9" w:rsidRDefault="004573A9">
      <w:pPr>
        <w:rPr>
          <w:color w:val="FF0000"/>
        </w:rPr>
      </w:pPr>
    </w:p>
    <w:p w14:paraId="0ED8058E" w14:textId="77777777" w:rsidR="004573A9" w:rsidRDefault="004573A9">
      <w:pPr>
        <w:rPr>
          <w:color w:val="FF0000"/>
        </w:rPr>
      </w:pPr>
    </w:p>
    <w:p w14:paraId="1059E23E" w14:textId="77777777" w:rsidR="004573A9" w:rsidRDefault="00270C3C">
      <w:pPr>
        <w:jc w:val="both"/>
      </w:pPr>
      <w:r>
        <w:t>Q3. Following the instructions from previous sections, create a structure of MIT domain interacting with CHMP3. The five MIT mutants found in MIC-CAP syndrome are Arg14Pro, Arg38Cys, Glu42Gly, Thr63Cys and P</w:t>
      </w:r>
      <w:r>
        <w:t>he100Tyr. Explore these residues’ interactions and insert the screenshot of the residue(s) involved in binding with the CHMP3. Also, label the amino acids that are identified.</w:t>
      </w:r>
    </w:p>
    <w:p w14:paraId="63492D34" w14:textId="77777777" w:rsidR="004573A9" w:rsidRDefault="004573A9"/>
    <w:p w14:paraId="09580514" w14:textId="77777777" w:rsidR="004573A9" w:rsidRDefault="004573A9">
      <w:pPr>
        <w:jc w:val="both"/>
        <w:rPr>
          <w:color w:val="FF0000"/>
        </w:rPr>
      </w:pPr>
    </w:p>
    <w:p w14:paraId="10C773EF" w14:textId="77777777" w:rsidR="004573A9" w:rsidRDefault="00270C3C">
      <w:pPr>
        <w:jc w:val="both"/>
        <w:rPr>
          <w:color w:val="FF0000"/>
        </w:rPr>
      </w:pPr>
      <w:r>
        <w:rPr>
          <w:color w:val="FF0000"/>
        </w:rPr>
        <w:t xml:space="preserve"> </w:t>
      </w:r>
    </w:p>
    <w:p w14:paraId="4EB75CFC" w14:textId="77777777" w:rsidR="004573A9" w:rsidRDefault="00270C3C">
      <w:r>
        <w:t>Q4. How does the mutation(s) affect the binding of CHMP3?</w:t>
      </w:r>
    </w:p>
    <w:p w14:paraId="6B76FC1F" w14:textId="77777777" w:rsidR="004573A9" w:rsidRDefault="004573A9">
      <w:pPr>
        <w:jc w:val="both"/>
        <w:rPr>
          <w:color w:val="FF0000"/>
        </w:rPr>
      </w:pPr>
    </w:p>
    <w:p w14:paraId="4EB32387" w14:textId="77777777" w:rsidR="004573A9" w:rsidRDefault="004573A9">
      <w:pPr>
        <w:jc w:val="both"/>
        <w:rPr>
          <w:color w:val="FF0000"/>
        </w:rPr>
      </w:pPr>
    </w:p>
    <w:p w14:paraId="4966CC08" w14:textId="77777777" w:rsidR="004573A9" w:rsidRDefault="004573A9">
      <w:pPr>
        <w:jc w:val="both"/>
        <w:rPr>
          <w:color w:val="FF0000"/>
        </w:rPr>
      </w:pPr>
    </w:p>
    <w:p w14:paraId="07AE2E85" w14:textId="77777777" w:rsidR="004573A9" w:rsidRDefault="00270C3C">
      <w:pPr>
        <w:jc w:val="both"/>
      </w:pPr>
      <w:r>
        <w:t>Q5. Explain in a few sentences how mutations in the MIT domain of STAMBP (AMSH) might cause microcephaly.</w:t>
      </w:r>
    </w:p>
    <w:p w14:paraId="403B4F1A" w14:textId="77777777" w:rsidR="004573A9" w:rsidRDefault="004573A9">
      <w:pPr>
        <w:jc w:val="both"/>
        <w:rPr>
          <w:color w:val="FF0000"/>
        </w:rPr>
      </w:pPr>
    </w:p>
    <w:p w14:paraId="3E56676C" w14:textId="77777777" w:rsidR="004573A9" w:rsidRDefault="00270C3C">
      <w:r>
        <w:br w:type="page"/>
      </w:r>
    </w:p>
    <w:p w14:paraId="13CA5EF2" w14:textId="77777777" w:rsidR="004573A9" w:rsidRDefault="00270C3C">
      <w:pPr>
        <w:pStyle w:val="Heading2"/>
      </w:pPr>
      <w:bookmarkStart w:id="31" w:name="_9o4kxr9ga3z" w:colFirst="0" w:colLast="0"/>
      <w:bookmarkEnd w:id="31"/>
      <w:r>
        <w:lastRenderedPageBreak/>
        <w:t>References</w:t>
      </w:r>
    </w:p>
    <w:p w14:paraId="55A9330B" w14:textId="77777777" w:rsidR="004573A9" w:rsidRDefault="00270C3C">
      <w:pPr>
        <w:numPr>
          <w:ilvl w:val="0"/>
          <w:numId w:val="8"/>
        </w:numPr>
        <w:pBdr>
          <w:top w:val="nil"/>
          <w:left w:val="nil"/>
          <w:bottom w:val="nil"/>
          <w:right w:val="nil"/>
          <w:between w:val="nil"/>
        </w:pBdr>
        <w:spacing w:after="0" w:line="240" w:lineRule="auto"/>
        <w:ind w:left="450" w:hanging="450"/>
        <w:jc w:val="both"/>
      </w:pPr>
      <w:r>
        <w:rPr>
          <w:color w:val="000000"/>
        </w:rPr>
        <w:t xml:space="preserve">McDonell, L.M.; </w:t>
      </w:r>
      <w:proofErr w:type="spellStart"/>
      <w:r>
        <w:rPr>
          <w:color w:val="000000"/>
        </w:rPr>
        <w:t>Mirzaa</w:t>
      </w:r>
      <w:proofErr w:type="spellEnd"/>
      <w:r>
        <w:rPr>
          <w:color w:val="000000"/>
        </w:rPr>
        <w:t xml:space="preserve">, G.M.; Alcantara, D.; </w:t>
      </w:r>
      <w:proofErr w:type="spellStart"/>
      <w:r>
        <w:rPr>
          <w:color w:val="000000"/>
        </w:rPr>
        <w:t>Schwartzentruber</w:t>
      </w:r>
      <w:proofErr w:type="spellEnd"/>
      <w:r>
        <w:rPr>
          <w:color w:val="000000"/>
        </w:rPr>
        <w:t xml:space="preserve">, J.; Carter, M.T.; Lee, L.J.; </w:t>
      </w:r>
      <w:proofErr w:type="spellStart"/>
      <w:r>
        <w:rPr>
          <w:color w:val="000000"/>
        </w:rPr>
        <w:t>Clericuzio</w:t>
      </w:r>
      <w:proofErr w:type="spellEnd"/>
      <w:r>
        <w:rPr>
          <w:color w:val="000000"/>
        </w:rPr>
        <w:t>, C.L.; Graham, J.M. Jr.; Morris-R</w:t>
      </w:r>
      <w:r>
        <w:rPr>
          <w:color w:val="000000"/>
        </w:rPr>
        <w:t xml:space="preserve">osendahl, D.J.; </w:t>
      </w:r>
      <w:proofErr w:type="spellStart"/>
      <w:r>
        <w:rPr>
          <w:color w:val="000000"/>
        </w:rPr>
        <w:t>Polster</w:t>
      </w:r>
      <w:proofErr w:type="spellEnd"/>
      <w:r>
        <w:rPr>
          <w:color w:val="000000"/>
        </w:rPr>
        <w:t xml:space="preserve">, T.; </w:t>
      </w:r>
      <w:proofErr w:type="spellStart"/>
      <w:r>
        <w:rPr>
          <w:color w:val="000000"/>
        </w:rPr>
        <w:t>Acsadi</w:t>
      </w:r>
      <w:proofErr w:type="spellEnd"/>
      <w:r>
        <w:rPr>
          <w:color w:val="000000"/>
        </w:rPr>
        <w:t xml:space="preserve">, G.; Townshend, S.; Williams, S.; Halbert, A.; Isidor, B.; David, A.; </w:t>
      </w:r>
      <w:proofErr w:type="spellStart"/>
      <w:r>
        <w:rPr>
          <w:color w:val="000000"/>
        </w:rPr>
        <w:t>Smyser</w:t>
      </w:r>
      <w:proofErr w:type="spellEnd"/>
      <w:r>
        <w:rPr>
          <w:color w:val="000000"/>
        </w:rPr>
        <w:t xml:space="preserve">, C.D.; </w:t>
      </w:r>
      <w:proofErr w:type="spellStart"/>
      <w:r>
        <w:rPr>
          <w:color w:val="000000"/>
        </w:rPr>
        <w:t>Paciorkowski</w:t>
      </w:r>
      <w:proofErr w:type="spellEnd"/>
      <w:r>
        <w:rPr>
          <w:color w:val="000000"/>
        </w:rPr>
        <w:t xml:space="preserve">, A.R.; Willing, M.; </w:t>
      </w:r>
      <w:proofErr w:type="spellStart"/>
      <w:r>
        <w:rPr>
          <w:color w:val="000000"/>
        </w:rPr>
        <w:t>Woulfe</w:t>
      </w:r>
      <w:proofErr w:type="spellEnd"/>
      <w:r>
        <w:rPr>
          <w:color w:val="000000"/>
        </w:rPr>
        <w:t xml:space="preserve">, J.; Das, S.; Beaulieu, C.L.; </w:t>
      </w:r>
      <w:proofErr w:type="spellStart"/>
      <w:r>
        <w:rPr>
          <w:color w:val="000000"/>
        </w:rPr>
        <w:t>Marcadier</w:t>
      </w:r>
      <w:proofErr w:type="spellEnd"/>
      <w:r>
        <w:rPr>
          <w:color w:val="000000"/>
        </w:rPr>
        <w:t>, J.; FORGE Canada Consortium; Geraghty, M.T.; Frey, B.J.</w:t>
      </w:r>
      <w:r>
        <w:rPr>
          <w:color w:val="000000"/>
        </w:rPr>
        <w:t xml:space="preserve">; Majewski, J.; Bulman, D.E.; Dobyns, W.B.; O'Driscoll, M. &amp; Boycott, K.M. Mutations in STAMBP, encoding a deubiquitinating enzyme, cause microcephaly-capillary malformation syndrome. </w:t>
      </w:r>
      <w:r>
        <w:rPr>
          <w:i/>
          <w:color w:val="000000"/>
        </w:rPr>
        <w:t>Nat Genet</w:t>
      </w:r>
      <w:r>
        <w:rPr>
          <w:color w:val="000000"/>
        </w:rPr>
        <w:t>. 2013 May;45(5):556-62.</w:t>
      </w:r>
    </w:p>
    <w:p w14:paraId="571811A0" w14:textId="77777777" w:rsidR="004573A9" w:rsidRDefault="00270C3C">
      <w:pPr>
        <w:numPr>
          <w:ilvl w:val="0"/>
          <w:numId w:val="8"/>
        </w:numPr>
        <w:pBdr>
          <w:top w:val="nil"/>
          <w:left w:val="nil"/>
          <w:bottom w:val="nil"/>
          <w:right w:val="nil"/>
          <w:between w:val="nil"/>
        </w:pBdr>
        <w:spacing w:after="0" w:line="240" w:lineRule="auto"/>
        <w:ind w:left="450" w:hanging="450"/>
        <w:jc w:val="both"/>
      </w:pPr>
      <w:r>
        <w:rPr>
          <w:color w:val="000000"/>
        </w:rPr>
        <w:t xml:space="preserve">Schmidt O, T. D. The ESCRT machinery. </w:t>
      </w:r>
      <w:proofErr w:type="spellStart"/>
      <w:r>
        <w:rPr>
          <w:i/>
          <w:color w:val="000000"/>
        </w:rPr>
        <w:t>Curr</w:t>
      </w:r>
      <w:proofErr w:type="spellEnd"/>
      <w:r>
        <w:rPr>
          <w:i/>
          <w:color w:val="000000"/>
        </w:rPr>
        <w:t xml:space="preserve"> Biol</w:t>
      </w:r>
      <w:r>
        <w:rPr>
          <w:color w:val="000000"/>
        </w:rPr>
        <w:t xml:space="preserve">. 2012 Feb 21;22(4): R116-20. </w:t>
      </w:r>
    </w:p>
    <w:p w14:paraId="5168FECA" w14:textId="77777777" w:rsidR="004573A9" w:rsidRDefault="00270C3C">
      <w:pPr>
        <w:numPr>
          <w:ilvl w:val="0"/>
          <w:numId w:val="8"/>
        </w:numPr>
        <w:pBdr>
          <w:top w:val="nil"/>
          <w:left w:val="nil"/>
          <w:bottom w:val="nil"/>
          <w:right w:val="nil"/>
          <w:between w:val="nil"/>
        </w:pBdr>
        <w:spacing w:after="0" w:line="240" w:lineRule="auto"/>
        <w:ind w:left="450" w:hanging="450"/>
        <w:jc w:val="both"/>
      </w:pPr>
      <w:r>
        <w:rPr>
          <w:color w:val="000000"/>
        </w:rPr>
        <w:t xml:space="preserve">Carter, M.T.; </w:t>
      </w:r>
      <w:proofErr w:type="spellStart"/>
      <w:r>
        <w:rPr>
          <w:color w:val="000000"/>
        </w:rPr>
        <w:t>Mirzaa</w:t>
      </w:r>
      <w:proofErr w:type="spellEnd"/>
      <w:r>
        <w:rPr>
          <w:color w:val="000000"/>
        </w:rPr>
        <w:t xml:space="preserve">, G.; McDonell, L.M. &amp; Boycott, K.M. Microcephaly-Capillary Malformation Syndrome. 2013 Dec 12 [Updated 2021 Mar 18]. In: Adam MP, Feldman J, </w:t>
      </w:r>
      <w:proofErr w:type="spellStart"/>
      <w:r>
        <w:rPr>
          <w:color w:val="000000"/>
        </w:rPr>
        <w:t>Mirzaa</w:t>
      </w:r>
      <w:proofErr w:type="spellEnd"/>
      <w:r>
        <w:rPr>
          <w:color w:val="000000"/>
        </w:rPr>
        <w:t xml:space="preserve"> GM, et al., editors. </w:t>
      </w:r>
      <w:proofErr w:type="spellStart"/>
      <w:r>
        <w:rPr>
          <w:color w:val="000000"/>
        </w:rPr>
        <w:t>GeneReviews</w:t>
      </w:r>
      <w:proofErr w:type="spellEnd"/>
      <w:r>
        <w:rPr>
          <w:color w:val="000000"/>
        </w:rPr>
        <w:t>® [Internet]. S</w:t>
      </w:r>
      <w:r>
        <w:rPr>
          <w:color w:val="000000"/>
        </w:rPr>
        <w:t>eattle (WA): University of Washington, Seattle; 1993-2025. Available from: https://www.ncbi.nlm.nih.gov/books/NBK174452/</w:t>
      </w:r>
    </w:p>
    <w:p w14:paraId="44037927" w14:textId="77777777" w:rsidR="004573A9" w:rsidRDefault="00270C3C">
      <w:pPr>
        <w:numPr>
          <w:ilvl w:val="0"/>
          <w:numId w:val="8"/>
        </w:numPr>
        <w:pBdr>
          <w:top w:val="nil"/>
          <w:left w:val="nil"/>
          <w:bottom w:val="nil"/>
          <w:right w:val="nil"/>
          <w:between w:val="nil"/>
        </w:pBdr>
        <w:spacing w:after="0" w:line="240" w:lineRule="auto"/>
        <w:ind w:left="450" w:hanging="450"/>
        <w:jc w:val="both"/>
      </w:pPr>
      <w:proofErr w:type="spellStart"/>
      <w:r>
        <w:t>Damgaard</w:t>
      </w:r>
      <w:proofErr w:type="spellEnd"/>
      <w:r>
        <w:t xml:space="preserve">, R.B. The ubiquitin system: from cell </w:t>
      </w:r>
      <w:proofErr w:type="spellStart"/>
      <w:r>
        <w:t>signalling</w:t>
      </w:r>
      <w:proofErr w:type="spellEnd"/>
      <w:r>
        <w:t xml:space="preserve"> to disease biology and new therapeutic opportunities. </w:t>
      </w:r>
      <w:r>
        <w:rPr>
          <w:i/>
        </w:rPr>
        <w:t>Cell Death Differ</w:t>
      </w:r>
      <w:r>
        <w:t xml:space="preserve"> </w:t>
      </w:r>
      <w:r>
        <w:rPr>
          <w:b/>
        </w:rPr>
        <w:t>28</w:t>
      </w:r>
      <w:r>
        <w:t>, 4</w:t>
      </w:r>
      <w:r>
        <w:t>23–426 (2021). https://doi.org/10.1038/s41418-020-00703-w</w:t>
      </w:r>
    </w:p>
    <w:p w14:paraId="544BAAFA" w14:textId="77777777" w:rsidR="004573A9" w:rsidRDefault="00270C3C">
      <w:pPr>
        <w:numPr>
          <w:ilvl w:val="0"/>
          <w:numId w:val="8"/>
        </w:numPr>
        <w:pBdr>
          <w:top w:val="nil"/>
          <w:left w:val="nil"/>
          <w:bottom w:val="nil"/>
          <w:right w:val="nil"/>
          <w:between w:val="nil"/>
        </w:pBdr>
        <w:spacing w:after="0" w:line="240" w:lineRule="auto"/>
        <w:ind w:left="450" w:hanging="450"/>
        <w:jc w:val="both"/>
      </w:pPr>
      <w:r>
        <w:rPr>
          <w:color w:val="000000"/>
        </w:rPr>
        <w:t>MedlinePlus [Internet]. Bethesda (MD): National Library of Medicine (US). Microcephaly-capillary malformation syndrome; [updated 2014 Feb 01]. Available from: https://medlineplus.gov/genetics/condit</w:t>
      </w:r>
      <w:r>
        <w:rPr>
          <w:color w:val="000000"/>
        </w:rPr>
        <w:t>ion/microcephaly-capillary-malformation-syndrome/</w:t>
      </w:r>
    </w:p>
    <w:p w14:paraId="75EB228B" w14:textId="77777777" w:rsidR="004573A9" w:rsidRDefault="00270C3C">
      <w:pPr>
        <w:numPr>
          <w:ilvl w:val="0"/>
          <w:numId w:val="8"/>
        </w:numPr>
        <w:pBdr>
          <w:top w:val="nil"/>
          <w:left w:val="nil"/>
          <w:bottom w:val="nil"/>
          <w:right w:val="nil"/>
          <w:between w:val="nil"/>
        </w:pBdr>
        <w:spacing w:after="0" w:line="240" w:lineRule="auto"/>
        <w:ind w:left="450" w:hanging="450"/>
        <w:jc w:val="both"/>
      </w:pPr>
      <w:r>
        <w:rPr>
          <w:color w:val="000000"/>
        </w:rPr>
        <w:t xml:space="preserve">Davies, C.W.; Paul, L.N. &amp; Das, C. Mechanism of recruitment and activation of the endosome-associated </w:t>
      </w:r>
      <w:proofErr w:type="spellStart"/>
      <w:r>
        <w:rPr>
          <w:color w:val="000000"/>
        </w:rPr>
        <w:t>deubiquitinase</w:t>
      </w:r>
      <w:proofErr w:type="spellEnd"/>
      <w:r>
        <w:rPr>
          <w:color w:val="000000"/>
        </w:rPr>
        <w:t xml:space="preserve"> AMSH. </w:t>
      </w:r>
      <w:r>
        <w:rPr>
          <w:i/>
          <w:color w:val="000000"/>
        </w:rPr>
        <w:t>Biochemistry.</w:t>
      </w:r>
      <w:r>
        <w:rPr>
          <w:color w:val="000000"/>
        </w:rPr>
        <w:t xml:space="preserve"> 2013 Nov 5;52(44):7818-29.</w:t>
      </w:r>
    </w:p>
    <w:p w14:paraId="589913A6" w14:textId="77777777" w:rsidR="004573A9" w:rsidRDefault="00270C3C">
      <w:pPr>
        <w:numPr>
          <w:ilvl w:val="0"/>
          <w:numId w:val="8"/>
        </w:numPr>
        <w:pBdr>
          <w:top w:val="nil"/>
          <w:left w:val="nil"/>
          <w:bottom w:val="nil"/>
          <w:right w:val="nil"/>
          <w:between w:val="nil"/>
        </w:pBdr>
        <w:spacing w:after="0" w:line="240" w:lineRule="auto"/>
        <w:ind w:left="450" w:hanging="450"/>
        <w:jc w:val="both"/>
      </w:pPr>
      <w:r>
        <w:rPr>
          <w:color w:val="000000"/>
        </w:rPr>
        <w:t xml:space="preserve">Shrestha, R.K.; </w:t>
      </w:r>
      <w:proofErr w:type="spellStart"/>
      <w:r>
        <w:rPr>
          <w:color w:val="000000"/>
        </w:rPr>
        <w:t>Ronau</w:t>
      </w:r>
      <w:proofErr w:type="spellEnd"/>
      <w:r>
        <w:rPr>
          <w:color w:val="000000"/>
        </w:rPr>
        <w:t>, J.A.; Davies, C.W.;</w:t>
      </w:r>
      <w:r>
        <w:rPr>
          <w:color w:val="000000"/>
        </w:rPr>
        <w:t xml:space="preserve"> Guenette, R.G.; </w:t>
      </w:r>
      <w:proofErr w:type="spellStart"/>
      <w:r>
        <w:rPr>
          <w:color w:val="000000"/>
        </w:rPr>
        <w:t>Strieter</w:t>
      </w:r>
      <w:proofErr w:type="spellEnd"/>
      <w:r>
        <w:rPr>
          <w:color w:val="000000"/>
        </w:rPr>
        <w:t xml:space="preserve">, E.R.; Paul, L.N. &amp; Das, C. Insights into the mechanism of </w:t>
      </w:r>
      <w:proofErr w:type="spellStart"/>
      <w:r>
        <w:rPr>
          <w:color w:val="000000"/>
        </w:rPr>
        <w:t>deubiquitination</w:t>
      </w:r>
      <w:proofErr w:type="spellEnd"/>
      <w:r>
        <w:rPr>
          <w:color w:val="000000"/>
        </w:rPr>
        <w:t xml:space="preserve"> by JAMM </w:t>
      </w:r>
      <w:proofErr w:type="spellStart"/>
      <w:r>
        <w:rPr>
          <w:color w:val="000000"/>
        </w:rPr>
        <w:t>deubiquitinases</w:t>
      </w:r>
      <w:proofErr w:type="spellEnd"/>
      <w:r>
        <w:rPr>
          <w:color w:val="000000"/>
        </w:rPr>
        <w:t xml:space="preserve"> from cocrystal structures of the enzyme with the substrate and product. </w:t>
      </w:r>
      <w:r>
        <w:rPr>
          <w:i/>
          <w:color w:val="000000"/>
        </w:rPr>
        <w:t>Biochemistry</w:t>
      </w:r>
      <w:r>
        <w:rPr>
          <w:color w:val="000000"/>
        </w:rPr>
        <w:t xml:space="preserve">. 2014 May 20;53(19):3199-217. </w:t>
      </w:r>
    </w:p>
    <w:p w14:paraId="0393A98A" w14:textId="77777777" w:rsidR="004573A9" w:rsidRDefault="00270C3C">
      <w:pPr>
        <w:numPr>
          <w:ilvl w:val="0"/>
          <w:numId w:val="8"/>
        </w:numPr>
        <w:pBdr>
          <w:top w:val="nil"/>
          <w:left w:val="nil"/>
          <w:bottom w:val="nil"/>
          <w:right w:val="nil"/>
          <w:between w:val="nil"/>
        </w:pBdr>
        <w:spacing w:after="0" w:line="240" w:lineRule="auto"/>
        <w:ind w:left="450" w:hanging="450"/>
        <w:jc w:val="both"/>
      </w:pPr>
      <w:r>
        <w:rPr>
          <w:color w:val="000000"/>
        </w:rPr>
        <w:t xml:space="preserve">Solomons, J.; </w:t>
      </w:r>
      <w:r>
        <w:rPr>
          <w:color w:val="000000"/>
        </w:rPr>
        <w:t xml:space="preserve">Sabin, C.; </w:t>
      </w:r>
      <w:proofErr w:type="spellStart"/>
      <w:r>
        <w:rPr>
          <w:color w:val="000000"/>
        </w:rPr>
        <w:t>Poudevigne</w:t>
      </w:r>
      <w:proofErr w:type="spellEnd"/>
      <w:r>
        <w:rPr>
          <w:color w:val="000000"/>
        </w:rPr>
        <w:t xml:space="preserve">, E.; </w:t>
      </w:r>
      <w:proofErr w:type="spellStart"/>
      <w:r>
        <w:rPr>
          <w:color w:val="000000"/>
        </w:rPr>
        <w:t>Usami</w:t>
      </w:r>
      <w:proofErr w:type="spellEnd"/>
      <w:r>
        <w:rPr>
          <w:color w:val="000000"/>
        </w:rPr>
        <w:t xml:space="preserve">, Y.; </w:t>
      </w:r>
      <w:proofErr w:type="spellStart"/>
      <w:r>
        <w:rPr>
          <w:color w:val="000000"/>
        </w:rPr>
        <w:t>Hulsik</w:t>
      </w:r>
      <w:proofErr w:type="spellEnd"/>
      <w:r>
        <w:rPr>
          <w:color w:val="000000"/>
        </w:rPr>
        <w:t xml:space="preserve">, D.L.; </w:t>
      </w:r>
      <w:proofErr w:type="spellStart"/>
      <w:r>
        <w:rPr>
          <w:color w:val="000000"/>
        </w:rPr>
        <w:t>Macheboeuf</w:t>
      </w:r>
      <w:proofErr w:type="spellEnd"/>
      <w:r>
        <w:rPr>
          <w:color w:val="000000"/>
        </w:rPr>
        <w:t xml:space="preserve">, P.; Hartlieb, B.; </w:t>
      </w:r>
      <w:proofErr w:type="spellStart"/>
      <w:r>
        <w:rPr>
          <w:color w:val="000000"/>
        </w:rPr>
        <w:t>Göttlinger</w:t>
      </w:r>
      <w:proofErr w:type="spellEnd"/>
      <w:r>
        <w:rPr>
          <w:color w:val="000000"/>
        </w:rPr>
        <w:t xml:space="preserve">, H. &amp; </w:t>
      </w:r>
      <w:proofErr w:type="spellStart"/>
      <w:r>
        <w:rPr>
          <w:color w:val="000000"/>
        </w:rPr>
        <w:t>Weissenhorn</w:t>
      </w:r>
      <w:proofErr w:type="spellEnd"/>
      <w:r>
        <w:rPr>
          <w:color w:val="000000"/>
        </w:rPr>
        <w:t xml:space="preserve">, W. Structural basis for ESCRT-III CHMP3 recruitment of AMSH. </w:t>
      </w:r>
      <w:r>
        <w:rPr>
          <w:i/>
          <w:color w:val="000000"/>
        </w:rPr>
        <w:t>Structure</w:t>
      </w:r>
      <w:r>
        <w:rPr>
          <w:color w:val="000000"/>
        </w:rPr>
        <w:t xml:space="preserve">. 2011 Aug 10;19(8):1149-59. </w:t>
      </w:r>
    </w:p>
    <w:sectPr w:rsidR="004573A9">
      <w:headerReference w:type="default" r:id="rId34"/>
      <w:footerReference w:type="defaul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1945E" w14:textId="77777777" w:rsidR="00270C3C" w:rsidRDefault="00270C3C">
      <w:pPr>
        <w:spacing w:after="0" w:line="240" w:lineRule="auto"/>
      </w:pPr>
      <w:r>
        <w:separator/>
      </w:r>
    </w:p>
  </w:endnote>
  <w:endnote w:type="continuationSeparator" w:id="0">
    <w:p w14:paraId="620E79FD" w14:textId="77777777" w:rsidR="00270C3C" w:rsidRDefault="00270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Play">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C4BE1" w14:textId="77777777" w:rsidR="004573A9" w:rsidRDefault="00270C3C">
    <w:r>
      <w:fldChar w:fldCharType="begin"/>
    </w:r>
    <w:r>
      <w:instrText>PAGE</w:instrText>
    </w:r>
    <w:r>
      <w:fldChar w:fldCharType="separate"/>
    </w:r>
    <w:r w:rsidR="00611F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8775E" w14:textId="77777777" w:rsidR="00270C3C" w:rsidRDefault="00270C3C">
      <w:pPr>
        <w:spacing w:after="0" w:line="240" w:lineRule="auto"/>
      </w:pPr>
      <w:r>
        <w:separator/>
      </w:r>
    </w:p>
  </w:footnote>
  <w:footnote w:type="continuationSeparator" w:id="0">
    <w:p w14:paraId="5C00548B" w14:textId="77777777" w:rsidR="00270C3C" w:rsidRDefault="00270C3C">
      <w:pPr>
        <w:spacing w:after="0" w:line="240" w:lineRule="auto"/>
      </w:pPr>
      <w:r>
        <w:continuationSeparator/>
      </w:r>
    </w:p>
  </w:footnote>
  <w:footnote w:id="1">
    <w:p w14:paraId="6A430E2C" w14:textId="77777777" w:rsidR="004573A9" w:rsidRDefault="00270C3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STAMBP: STAM binding protein</w:t>
      </w:r>
      <w:r>
        <w:rPr>
          <w:sz w:val="20"/>
          <w:szCs w:val="20"/>
        </w:rPr>
        <w:t xml:space="preserve">, where </w:t>
      </w:r>
      <w:r>
        <w:rPr>
          <w:color w:val="000000"/>
          <w:sz w:val="20"/>
          <w:szCs w:val="20"/>
        </w:rPr>
        <w:t>STAM</w:t>
      </w:r>
      <w:r>
        <w:rPr>
          <w:sz w:val="20"/>
          <w:szCs w:val="20"/>
        </w:rPr>
        <w:t xml:space="preserve"> stands for</w:t>
      </w:r>
      <w:r>
        <w:rPr>
          <w:color w:val="000000"/>
          <w:sz w:val="20"/>
          <w:szCs w:val="20"/>
        </w:rPr>
        <w:t xml:space="preserve"> Signal Transducing Adaptor Molecule</w:t>
      </w:r>
    </w:p>
  </w:footnote>
  <w:footnote w:id="2">
    <w:p w14:paraId="2983A772" w14:textId="77777777" w:rsidR="004573A9" w:rsidRDefault="00270C3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Ub</w:t>
      </w:r>
      <w:proofErr w:type="spellEnd"/>
      <w:r>
        <w:rPr>
          <w:color w:val="000000"/>
          <w:sz w:val="20"/>
          <w:szCs w:val="20"/>
        </w:rPr>
        <w:t>: ubiquitin</w:t>
      </w:r>
    </w:p>
    <w:p w14:paraId="3ABB84C0" w14:textId="77777777" w:rsidR="004573A9" w:rsidRDefault="00270C3C">
      <w:pPr>
        <w:spacing w:after="0" w:line="240" w:lineRule="auto"/>
        <w:rPr>
          <w:color w:val="000000"/>
          <w:sz w:val="20"/>
          <w:szCs w:val="20"/>
        </w:rPr>
      </w:pPr>
      <w:r>
        <w:rPr>
          <w:sz w:val="20"/>
          <w:szCs w:val="20"/>
        </w:rPr>
        <w:t>* Doula: A non-medical professional who guides and supports another person through a significant health-related experience, e.g., pregnancy, childbirth</w:t>
      </w:r>
      <w:r>
        <w:rPr>
          <w:sz w:val="20"/>
          <w:szCs w:val="20"/>
        </w:rPr>
        <w:t>, post-partum care.</w:t>
      </w:r>
    </w:p>
  </w:footnote>
  <w:footnote w:id="3">
    <w:p w14:paraId="46E08667" w14:textId="77777777" w:rsidR="004573A9" w:rsidRDefault="00270C3C">
      <w:pPr>
        <w:spacing w:after="0" w:line="240" w:lineRule="auto"/>
        <w:rPr>
          <w:sz w:val="20"/>
          <w:szCs w:val="20"/>
        </w:rPr>
      </w:pPr>
      <w:r>
        <w:rPr>
          <w:vertAlign w:val="superscript"/>
        </w:rPr>
        <w:footnoteRef/>
      </w:r>
      <w:r>
        <w:rPr>
          <w:sz w:val="20"/>
          <w:szCs w:val="20"/>
        </w:rPr>
        <w:t xml:space="preserve"> MIT: Microtubule Interacting and Transport</w:t>
      </w:r>
    </w:p>
  </w:footnote>
  <w:footnote w:id="4">
    <w:p w14:paraId="2E90F04A" w14:textId="77777777" w:rsidR="004573A9" w:rsidRDefault="00270C3C">
      <w:pPr>
        <w:spacing w:after="0" w:line="240" w:lineRule="auto"/>
        <w:rPr>
          <w:sz w:val="20"/>
          <w:szCs w:val="20"/>
        </w:rPr>
      </w:pPr>
      <w:r>
        <w:rPr>
          <w:vertAlign w:val="superscript"/>
        </w:rPr>
        <w:footnoteRef/>
      </w:r>
      <w:r>
        <w:rPr>
          <w:sz w:val="20"/>
          <w:szCs w:val="20"/>
        </w:rPr>
        <w:t xml:space="preserve"> CHMP3: CHMP3-charged multivesicular bodies 3, which is a part of ESCRT-III </w:t>
      </w:r>
    </w:p>
  </w:footnote>
  <w:footnote w:id="5">
    <w:p w14:paraId="095F1CAE" w14:textId="77777777" w:rsidR="004573A9" w:rsidRDefault="00270C3C">
      <w:pPr>
        <w:spacing w:after="0" w:line="240" w:lineRule="auto"/>
        <w:rPr>
          <w:sz w:val="20"/>
          <w:szCs w:val="20"/>
        </w:rPr>
      </w:pPr>
      <w:r>
        <w:rPr>
          <w:vertAlign w:val="superscript"/>
        </w:rPr>
        <w:footnoteRef/>
      </w:r>
      <w:r>
        <w:rPr>
          <w:sz w:val="20"/>
          <w:szCs w:val="20"/>
        </w:rPr>
        <w:t xml:space="preserve"> SBM: SH3 binding motif </w:t>
      </w:r>
    </w:p>
  </w:footnote>
  <w:footnote w:id="6">
    <w:p w14:paraId="20DBF1DD" w14:textId="77777777" w:rsidR="004573A9" w:rsidRDefault="00270C3C">
      <w:pPr>
        <w:spacing w:after="0" w:line="240" w:lineRule="auto"/>
        <w:rPr>
          <w:sz w:val="20"/>
          <w:szCs w:val="20"/>
        </w:rPr>
      </w:pPr>
      <w:r>
        <w:rPr>
          <w:vertAlign w:val="superscript"/>
        </w:rPr>
        <w:footnoteRef/>
      </w:r>
      <w:r>
        <w:rPr>
          <w:sz w:val="20"/>
          <w:szCs w:val="20"/>
        </w:rPr>
        <w:t xml:space="preserve"> JAMM: JAB1/MPN/MOV34 motif, responsible for cleaving </w:t>
      </w:r>
      <w:proofErr w:type="spellStart"/>
      <w:r>
        <w:rPr>
          <w:sz w:val="20"/>
          <w:szCs w:val="20"/>
        </w:rPr>
        <w:t>Ub</w:t>
      </w:r>
      <w:proofErr w:type="spellEnd"/>
      <w:r>
        <w:rPr>
          <w:sz w:val="20"/>
          <w:szCs w:val="20"/>
        </w:rPr>
        <w:t xml:space="preserve"> ch</w:t>
      </w:r>
      <w:r>
        <w:rPr>
          <w:sz w:val="20"/>
          <w:szCs w:val="20"/>
        </w:rPr>
        <w:t>ains.</w:t>
      </w:r>
    </w:p>
  </w:footnote>
  <w:footnote w:id="7">
    <w:p w14:paraId="30DA7D08" w14:textId="77777777" w:rsidR="004573A9" w:rsidRDefault="00270C3C">
      <w:pPr>
        <w:spacing w:after="0" w:line="240" w:lineRule="auto"/>
        <w:rPr>
          <w:sz w:val="20"/>
          <w:szCs w:val="20"/>
        </w:rPr>
      </w:pPr>
      <w:r>
        <w:rPr>
          <w:vertAlign w:val="superscript"/>
        </w:rPr>
        <w:footnoteRef/>
      </w:r>
      <w:r>
        <w:rPr>
          <w:sz w:val="20"/>
          <w:szCs w:val="20"/>
        </w:rPr>
        <w:t xml:space="preserve"> Lys63-linked</w:t>
      </w:r>
      <w:r>
        <w:rPr>
          <w:sz w:val="20"/>
          <w:szCs w:val="20"/>
          <w:vertAlign w:val="superscript"/>
        </w:rPr>
        <w:t xml:space="preserve"> </w:t>
      </w:r>
      <w:r>
        <w:rPr>
          <w:sz w:val="20"/>
          <w:szCs w:val="20"/>
        </w:rPr>
        <w:t>polyubiquitin chain: Ubiquitin chain in which Lys63 of one ubiquitin is attached to the terminal carboxylate group of another ubiquitin.</w:t>
      </w:r>
    </w:p>
  </w:footnote>
  <w:footnote w:id="8">
    <w:p w14:paraId="48FB7C44" w14:textId="77777777" w:rsidR="004573A9" w:rsidRDefault="00270C3C">
      <w:pPr>
        <w:spacing w:after="0" w:line="240" w:lineRule="auto"/>
        <w:rPr>
          <w:sz w:val="20"/>
          <w:szCs w:val="20"/>
        </w:rPr>
      </w:pPr>
      <w:r>
        <w:rPr>
          <w:vertAlign w:val="superscript"/>
        </w:rPr>
        <w:footnoteRef/>
      </w:r>
      <w:r>
        <w:rPr>
          <w:sz w:val="20"/>
          <w:szCs w:val="20"/>
        </w:rPr>
        <w:t xml:space="preserve"> ESCRT: endosomal sorting complexes required for transport</w:t>
      </w:r>
    </w:p>
  </w:footnote>
  <w:footnote w:id="9">
    <w:p w14:paraId="72DB06CE" w14:textId="77777777" w:rsidR="004573A9" w:rsidRDefault="00270C3C">
      <w:pPr>
        <w:spacing w:after="0" w:line="240" w:lineRule="auto"/>
        <w:rPr>
          <w:sz w:val="20"/>
          <w:szCs w:val="20"/>
        </w:rPr>
      </w:pPr>
      <w:r>
        <w:rPr>
          <w:vertAlign w:val="superscript"/>
        </w:rPr>
        <w:footnoteRef/>
      </w:r>
      <w:r>
        <w:rPr>
          <w:sz w:val="20"/>
          <w:szCs w:val="20"/>
        </w:rPr>
        <w:t xml:space="preserve"> AMSH: associated molecule with the </w:t>
      </w:r>
      <w:proofErr w:type="spellStart"/>
      <w:r>
        <w:rPr>
          <w:sz w:val="20"/>
          <w:szCs w:val="20"/>
        </w:rPr>
        <w:t>Src</w:t>
      </w:r>
      <w:proofErr w:type="spellEnd"/>
      <w:r>
        <w:rPr>
          <w:sz w:val="20"/>
          <w:szCs w:val="20"/>
        </w:rPr>
        <w:t xml:space="preserve"> homology 3 domain of signal transducing adaptor molecule.   </w:t>
      </w:r>
    </w:p>
  </w:footnote>
  <w:footnote w:id="10">
    <w:p w14:paraId="57A0FF53" w14:textId="77777777" w:rsidR="004573A9" w:rsidRDefault="00270C3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MVB: multivesicular body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1785A" w14:textId="77777777" w:rsidR="004573A9" w:rsidRDefault="00270C3C">
    <w:pPr>
      <w:spacing w:after="0" w:line="276" w:lineRule="auto"/>
      <w:ind w:left="1440" w:hanging="360"/>
      <w:jc w:val="right"/>
    </w:pPr>
    <w:r>
      <w:rPr>
        <w:rFonts w:ascii="Times New Roman" w:eastAsia="Times New Roman" w:hAnsi="Times New Roman" w:cs="Times New Roman"/>
        <w:noProof/>
      </w:rPr>
      <w:drawing>
        <wp:inline distT="114300" distB="114300" distL="114300" distR="114300" wp14:anchorId="79F98604" wp14:editId="7497451B">
          <wp:extent cx="914400" cy="436098"/>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914400" cy="43609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77BB4"/>
    <w:multiLevelType w:val="multilevel"/>
    <w:tmpl w:val="1A209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C40DA0"/>
    <w:multiLevelType w:val="multilevel"/>
    <w:tmpl w:val="DF46122C"/>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43905F0"/>
    <w:multiLevelType w:val="multilevel"/>
    <w:tmpl w:val="D2465E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9B17070"/>
    <w:multiLevelType w:val="multilevel"/>
    <w:tmpl w:val="A99EA7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CD2149B"/>
    <w:multiLevelType w:val="multilevel"/>
    <w:tmpl w:val="58506B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EB84965"/>
    <w:multiLevelType w:val="multilevel"/>
    <w:tmpl w:val="B5286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9D79A4"/>
    <w:multiLevelType w:val="multilevel"/>
    <w:tmpl w:val="C316D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054803"/>
    <w:multiLevelType w:val="multilevel"/>
    <w:tmpl w:val="D0026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5510B0"/>
    <w:multiLevelType w:val="multilevel"/>
    <w:tmpl w:val="AECA1BE2"/>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CFB5166"/>
    <w:multiLevelType w:val="multilevel"/>
    <w:tmpl w:val="D43827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9963C58"/>
    <w:multiLevelType w:val="multilevel"/>
    <w:tmpl w:val="75FA99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FFD6B19"/>
    <w:multiLevelType w:val="multilevel"/>
    <w:tmpl w:val="BB868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11"/>
  </w:num>
  <w:num w:numId="3">
    <w:abstractNumId w:val="0"/>
  </w:num>
  <w:num w:numId="4">
    <w:abstractNumId w:val="3"/>
  </w:num>
  <w:num w:numId="5">
    <w:abstractNumId w:val="9"/>
  </w:num>
  <w:num w:numId="6">
    <w:abstractNumId w:val="4"/>
  </w:num>
  <w:num w:numId="7">
    <w:abstractNumId w:val="2"/>
  </w:num>
  <w:num w:numId="8">
    <w:abstractNumId w:val="1"/>
  </w:num>
  <w:num w:numId="9">
    <w:abstractNumId w:val="8"/>
  </w:num>
  <w:num w:numId="10">
    <w:abstractNumId w:val="1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3A9"/>
    <w:rsid w:val="00270C3C"/>
    <w:rsid w:val="004573A9"/>
    <w:rsid w:val="00611FC7"/>
    <w:rsid w:val="00A67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32F7B1"/>
  <w15:docId w15:val="{0BEB6C87-313C-3B49-ABC7-2CA8103EB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rcsb.org/" TargetMode="External"/><Relationship Id="rId26" Type="http://schemas.openxmlformats.org/officeDocument/2006/relationships/hyperlink" Target="https://www.rcsb.org/" TargetMode="Externa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hyperlink" Target="https://pdb101.rcsb.org/motm/60" TargetMode="External"/><Relationship Id="rId12" Type="http://schemas.openxmlformats.org/officeDocument/2006/relationships/hyperlink" Target="https://pdb101.rcsb.org/motm/60"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www.uniprot.org/uniprotkb/O95630/entry"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mim.org/entry/614261" TargetMode="External"/><Relationship Id="rId24" Type="http://schemas.openxmlformats.org/officeDocument/2006/relationships/hyperlink" Target="http://www.uniprot.org/" TargetMode="External"/><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kegg.jp/kegg/pathway.html"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s://omim.org/help/about" TargetMode="Externa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pubmed.ncbi.nlm.nih.gov/23542699/" TargetMode="External"/><Relationship Id="rId14" Type="http://schemas.openxmlformats.org/officeDocument/2006/relationships/hyperlink" Target="https://www.uniprot.org/"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xml"/><Relationship Id="rId8" Type="http://schemas.openxmlformats.org/officeDocument/2006/relationships/hyperlink" Target="https://www.youtube.com/watch?v=TgOe7aPVpoM"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3795</Words>
  <Characters>21637</Characters>
  <Application>Microsoft Office Word</Application>
  <DocSecurity>0</DocSecurity>
  <Lines>180</Lines>
  <Paragraphs>50</Paragraphs>
  <ScaleCrop>false</ScaleCrop>
  <Company/>
  <LinksUpToDate>false</LinksUpToDate>
  <CharactersWithSpaces>25382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Shuchismita Dutta</cp:lastModifiedBy>
  <cp:revision>3</cp:revision>
  <dcterms:created xsi:type="dcterms:W3CDTF">2025-09-20T21:14:00Z</dcterms:created>
  <dcterms:modified xsi:type="dcterms:W3CDTF">2025-09-20T21:17:00Z</dcterms:modified>
</cp:coreProperties>
</file>